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РОССИЙСКАЯ  ФЕДЕРАЦИЯ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БРЯНСКАЯ  ОБЛАСТЬ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КРАСНОГОРСКИЙ  РАЙОН</w:t>
      </w:r>
    </w:p>
    <w:p w:rsidR="00C06FC3" w:rsidRPr="002E581F" w:rsidRDefault="00625270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ЯЛОВСКАЯ</w:t>
      </w:r>
      <w:r w:rsidR="00C06FC3" w:rsidRPr="002E581F">
        <w:rPr>
          <w:rFonts w:ascii="Times New Roman" w:hAnsi="Times New Roman"/>
          <w:sz w:val="24"/>
          <w:szCs w:val="24"/>
        </w:rPr>
        <w:t xml:space="preserve"> СЕЛЬСКАЯ  АДМИНИСТРАЦИЯ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ПОСТАНОВЛЕНИЕ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</w:p>
    <w:p w:rsidR="00C06FC3" w:rsidRPr="002E581F" w:rsidRDefault="00CF112A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52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15.02</w:t>
      </w:r>
      <w:r w:rsidR="00C06FC3" w:rsidRPr="002E58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C06FC3" w:rsidRPr="002E581F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2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 xml:space="preserve">с. </w:t>
      </w:r>
      <w:r w:rsidR="00625270">
        <w:rPr>
          <w:rFonts w:ascii="Times New Roman" w:hAnsi="Times New Roman"/>
          <w:sz w:val="24"/>
          <w:szCs w:val="24"/>
        </w:rPr>
        <w:t>Яловка</w:t>
      </w:r>
    </w:p>
    <w:p w:rsidR="00C06FC3" w:rsidRPr="00A42373" w:rsidRDefault="00C06FC3" w:rsidP="002E581F">
      <w:pPr>
        <w:rPr>
          <w:szCs w:val="28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О Порядке формирования, ведения, перечня муниципального имущества муниципального образования «</w:t>
      </w:r>
      <w:r w:rsidR="00625270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сельского поселения: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Постановляю: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 Утвердить прилагаемые: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1.1. Порядок формирования, ведения, перечня муниципального имущества муниципального образования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1.2. 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Настоящее постановление вступает в силу с момента опубликования.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2E581F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Глава сельской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ab/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А.В. Белоус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Приложение№1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Постановлением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155555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от «</w:t>
      </w:r>
      <w:r w:rsidR="00625270" w:rsidRPr="00155555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05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»</w:t>
      </w:r>
      <w:r w:rsidRPr="00155555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сентября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2018г. № 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Порядок формирования, ведения, перечня муниципального имущества муниципального образования «</w:t>
      </w:r>
      <w:r w:rsidR="00625270"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1.1. Настоящий Порядок определяет процедуру формирования, ведения, перечня муниципального имущества муниципального образования «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1.2. Включению в Перечень подлежит только муниципальное имущество муниципального образования «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2. Порядок формирования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Яловской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сельской администрацией Красногорского района Брянской области.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lastRenderedPageBreak/>
        <w:t>3. Порядок ведения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3.1. Ведение Перечня включает в себя ведение информационной базы, содержащей сведения об: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2) проведении торгов на право заключения договоров аренды;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3) результатах проведения торгов;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4) заключенных договорах аренды;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3.3. Внесение сведений в информационную базу, в том числе информационную базу, размещенную в сети Интернет осуществляется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4. Порядок обязательного официального обнародования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Перечень, а также изменения в него подлежат обязательному обнародованию на официальном сайте администрации Красногорского района (сельские поселения) в сети Интернет, в срок не позднее пяти рабочих дней со дня утверждения Перечня или внесения в него изменений.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УТВЕРЖДЕНЫ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Постановлением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Красногорского района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25270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05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18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 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b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 Имущество, включенное в перечень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Арендаторами имущества могут быть: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- Федеральный закон);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Торги проводятся в соответствии с порядком, установленным Федеральным законом «О защите конкуренции».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5. Арендаторами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включенного в Перечень, не могут быть субъекты предпринимательства, организации: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участниками соглашений о разделе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осуществляющие предпринимательскую деятельность в сфере игорного бизнеса;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задолженность по налоговым платежам в бюджеты всех уровней и во внебюджетные фонды;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имеющие просроченную задолженность по заработной плате работников;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сельском поселении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Красногорском районе Брянской области;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осуществлять проверки его использования не реже одного раза в год.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муниципальное имущество по акту приема-передачи.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12. К социально значимым, приоритетным видам деятельности относятся: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производство, переработка и (или) хранение сельскохозяйственной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овощеводство, садоводство, виноградарство;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розничная торговля, общественное питание, предоставление платных услуг.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подача субъектом предпринимательства в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Яловскую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14. Для получения льготы по арендной плате субъект предпринимательства, с которым заключен в установленном порядке договор аренды, обращается в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Яловскую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администрацию Красногорского района Брянской области с письменным заявлением о предоставлении льготы по арендной плате, в котором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15.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 принятом решении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17. Муниципальное имущество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18.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20.Использование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№3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05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18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</w:t>
      </w:r>
    </w:p>
    <w:p w:rsidR="00C06FC3" w:rsidRPr="002E581F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D12F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№ п/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Местонахождение, наименование,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Целевое назначение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D12F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F57"/>
    <w:rsid w:val="0006162D"/>
    <w:rsid w:val="00065DC6"/>
    <w:rsid w:val="0007231E"/>
    <w:rsid w:val="000B3A49"/>
    <w:rsid w:val="000E609B"/>
    <w:rsid w:val="00107583"/>
    <w:rsid w:val="00110454"/>
    <w:rsid w:val="001439D0"/>
    <w:rsid w:val="00155555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8474A"/>
    <w:rsid w:val="003B4A61"/>
    <w:rsid w:val="004B1D03"/>
    <w:rsid w:val="004F3CFC"/>
    <w:rsid w:val="00560844"/>
    <w:rsid w:val="005A300C"/>
    <w:rsid w:val="005D5320"/>
    <w:rsid w:val="00625270"/>
    <w:rsid w:val="006D2227"/>
    <w:rsid w:val="006F1ADE"/>
    <w:rsid w:val="007C4A85"/>
    <w:rsid w:val="00831B77"/>
    <w:rsid w:val="008A3511"/>
    <w:rsid w:val="008F082D"/>
    <w:rsid w:val="009245BA"/>
    <w:rsid w:val="0093083B"/>
    <w:rsid w:val="00942707"/>
    <w:rsid w:val="00961948"/>
    <w:rsid w:val="00A25A62"/>
    <w:rsid w:val="00A42373"/>
    <w:rsid w:val="00A8123C"/>
    <w:rsid w:val="00B24C01"/>
    <w:rsid w:val="00B720F4"/>
    <w:rsid w:val="00B917F0"/>
    <w:rsid w:val="00BA1E8D"/>
    <w:rsid w:val="00C06FC3"/>
    <w:rsid w:val="00C10100"/>
    <w:rsid w:val="00CF112A"/>
    <w:rsid w:val="00D0189E"/>
    <w:rsid w:val="00D12F57"/>
    <w:rsid w:val="00E10E10"/>
    <w:rsid w:val="00E329E7"/>
    <w:rsid w:val="00E9241F"/>
    <w:rsid w:val="00EB5A40"/>
    <w:rsid w:val="00F31B2A"/>
    <w:rsid w:val="00F8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7</cp:revision>
  <dcterms:created xsi:type="dcterms:W3CDTF">2019-02-04T06:29:00Z</dcterms:created>
  <dcterms:modified xsi:type="dcterms:W3CDTF">2019-03-27T13:05:00Z</dcterms:modified>
</cp:coreProperties>
</file>