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C3" w:rsidRPr="002E581F" w:rsidRDefault="00C06FC3" w:rsidP="002E58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581F">
        <w:rPr>
          <w:rFonts w:ascii="Times New Roman" w:hAnsi="Times New Roman"/>
          <w:sz w:val="24"/>
          <w:szCs w:val="24"/>
        </w:rPr>
        <w:t>РОССИЙСКАЯ  ФЕДЕРАЦИЯ</w:t>
      </w:r>
    </w:p>
    <w:p w:rsidR="00C06FC3" w:rsidRPr="002E581F" w:rsidRDefault="00C06FC3" w:rsidP="002E58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581F">
        <w:rPr>
          <w:rFonts w:ascii="Times New Roman" w:hAnsi="Times New Roman"/>
          <w:sz w:val="24"/>
          <w:szCs w:val="24"/>
        </w:rPr>
        <w:t>БРЯНСКАЯ  ОБЛАСТЬ</w:t>
      </w:r>
    </w:p>
    <w:p w:rsidR="00C06FC3" w:rsidRPr="002E581F" w:rsidRDefault="00C06FC3" w:rsidP="002E58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581F">
        <w:rPr>
          <w:rFonts w:ascii="Times New Roman" w:hAnsi="Times New Roman"/>
          <w:sz w:val="24"/>
          <w:szCs w:val="24"/>
        </w:rPr>
        <w:t>КРАСНОГОРСКИЙ  РАЙОН</w:t>
      </w:r>
    </w:p>
    <w:p w:rsidR="00C06FC3" w:rsidRPr="002E581F" w:rsidRDefault="00A74FF7" w:rsidP="002E581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МАКАРИЧСКАЯ</w:t>
      </w:r>
      <w:r w:rsidR="00C06FC3" w:rsidRPr="002E581F">
        <w:rPr>
          <w:rFonts w:ascii="Times New Roman" w:hAnsi="Times New Roman"/>
          <w:sz w:val="24"/>
          <w:szCs w:val="24"/>
        </w:rPr>
        <w:t xml:space="preserve"> СЕЛЬСКАЯ  АДМИНИСТРАЦИЯ</w:t>
      </w:r>
    </w:p>
    <w:p w:rsidR="00C06FC3" w:rsidRPr="002E581F" w:rsidRDefault="00C06FC3" w:rsidP="002E581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6FC3" w:rsidRPr="002E581F" w:rsidRDefault="00C06FC3" w:rsidP="002E58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581F">
        <w:rPr>
          <w:rFonts w:ascii="Times New Roman" w:hAnsi="Times New Roman"/>
          <w:sz w:val="24"/>
          <w:szCs w:val="24"/>
        </w:rPr>
        <w:t>ПОСТАНОВЛЕНИЕ</w:t>
      </w:r>
    </w:p>
    <w:p w:rsidR="00C06FC3" w:rsidRPr="002E581F" w:rsidRDefault="00C06FC3" w:rsidP="002E581F">
      <w:pPr>
        <w:spacing w:after="0"/>
        <w:rPr>
          <w:rFonts w:ascii="Times New Roman" w:hAnsi="Times New Roman"/>
          <w:sz w:val="24"/>
          <w:szCs w:val="24"/>
        </w:rPr>
      </w:pPr>
    </w:p>
    <w:p w:rsidR="00C06FC3" w:rsidRPr="002E581F" w:rsidRDefault="00C06FC3" w:rsidP="002E58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74FF7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.09</w:t>
      </w:r>
      <w:r w:rsidRPr="002E581F">
        <w:rPr>
          <w:rFonts w:ascii="Times New Roman" w:hAnsi="Times New Roman"/>
          <w:sz w:val="24"/>
          <w:szCs w:val="24"/>
        </w:rPr>
        <w:t xml:space="preserve">.2018 года  № </w:t>
      </w:r>
      <w:r w:rsidR="00A74FF7">
        <w:rPr>
          <w:rFonts w:ascii="Times New Roman" w:hAnsi="Times New Roman"/>
          <w:sz w:val="24"/>
          <w:szCs w:val="24"/>
        </w:rPr>
        <w:t>54</w:t>
      </w:r>
    </w:p>
    <w:p w:rsidR="00C06FC3" w:rsidRPr="00A42373" w:rsidRDefault="00E95188" w:rsidP="00E95188">
      <w:pPr>
        <w:spacing w:after="0"/>
        <w:rPr>
          <w:szCs w:val="28"/>
        </w:rPr>
      </w:pPr>
      <w:r>
        <w:rPr>
          <w:rFonts w:ascii="Times New Roman" w:hAnsi="Times New Roman"/>
          <w:sz w:val="24"/>
          <w:szCs w:val="24"/>
        </w:rPr>
        <w:t>д</w:t>
      </w:r>
      <w:r w:rsidR="00C06FC3" w:rsidRPr="002E581F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Макаричи</w:t>
      </w:r>
      <w:proofErr w:type="spellEnd"/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proofErr w:type="gramStart"/>
      <w:r w:rsidRPr="002E581F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>О Порядке формирования, ведения, перечня муниципального имущества муниципального образования «</w:t>
      </w:r>
      <w:proofErr w:type="spellStart"/>
      <w:r w:rsidR="00A74FF7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>Макаричское</w:t>
      </w:r>
      <w:proofErr w:type="spellEnd"/>
      <w:r w:rsidRPr="002E581F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 xml:space="preserve"> сельское поселение» Красногорского района Брянской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</w:t>
      </w:r>
      <w:proofErr w:type="gramEnd"/>
      <w:r w:rsidRPr="002E581F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 xml:space="preserve">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указанного имущества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            </w:t>
      </w:r>
      <w:proofErr w:type="gramStart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№ 209-ФЗ от 24.07.2007г. «О развитии малого и среднего предпринимательства в Российской Федерации», Федеральным законом №156-ФЗ от 30.06.2015г. «О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Федерации», руководствуясь Уставом</w:t>
      </w:r>
      <w:proofErr w:type="gramEnd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</w:t>
      </w:r>
      <w:proofErr w:type="spellStart"/>
      <w:r w:rsidR="00A74FF7">
        <w:rPr>
          <w:rFonts w:ascii="Times New Roman" w:hAnsi="Times New Roman"/>
          <w:color w:val="242424"/>
          <w:sz w:val="20"/>
          <w:szCs w:val="20"/>
          <w:lang w:eastAsia="ru-RU"/>
        </w:rPr>
        <w:t>Макаричского</w:t>
      </w:r>
      <w:proofErr w:type="spellEnd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сельского поселения: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Постановляю: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1. Утвердить прилагаемые: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1.1. Порядок формирования, ведения, перечня муниципального имущества муниципального образования </w:t>
      </w:r>
      <w:proofErr w:type="gramStart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«</w:t>
      </w:r>
      <w:proofErr w:type="spellStart"/>
      <w:r w:rsidR="00A74FF7">
        <w:rPr>
          <w:rFonts w:ascii="Times New Roman" w:hAnsi="Times New Roman"/>
          <w:color w:val="242424"/>
          <w:sz w:val="20"/>
          <w:szCs w:val="20"/>
          <w:lang w:eastAsia="ru-RU"/>
        </w:rPr>
        <w:t>Макаричское</w:t>
      </w:r>
      <w:proofErr w:type="spellEnd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сельское поселение» Красногорского района Брянской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</w:t>
      </w:r>
      <w:proofErr w:type="gramEnd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инфраструктуру поддержки субъектов малого и среднего предпринимательства (приложение №1).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1.2. </w:t>
      </w:r>
      <w:proofErr w:type="gramStart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Утвердить Порядок и условия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 муниципального образования «</w:t>
      </w:r>
      <w:proofErr w:type="spellStart"/>
      <w:r w:rsidR="00A74FF7">
        <w:rPr>
          <w:rFonts w:ascii="Times New Roman" w:hAnsi="Times New Roman"/>
          <w:color w:val="242424"/>
          <w:sz w:val="20"/>
          <w:szCs w:val="20"/>
          <w:lang w:eastAsia="ru-RU"/>
        </w:rPr>
        <w:t>Макаричское</w:t>
      </w:r>
      <w:proofErr w:type="spellEnd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сельское поселение» Красногорского района Брянской области,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</w:t>
      </w:r>
      <w:proofErr w:type="gramEnd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поддержки субъектов малого и среднего предпринимательства (приложение 2).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1.3. </w:t>
      </w:r>
      <w:proofErr w:type="gramStart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и среднего предпринимательства (приложение 3).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2. Опубликовать настоящее постановление на официальном сайте администрации Красногорского района Брянской области (сельские поселения).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3. Настоящее постановление вступает в силу с момента опубликования.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lastRenderedPageBreak/>
        <w:t xml:space="preserve">4. </w:t>
      </w:r>
      <w:proofErr w:type="gramStart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Контроль</w:t>
      </w:r>
      <w:r w:rsidR="009E1B0C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за</w:t>
      </w:r>
      <w:proofErr w:type="gramEnd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A74FF7">
      <w:pPr>
        <w:tabs>
          <w:tab w:val="left" w:pos="6372"/>
        </w:tabs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Глава сельской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администрации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ab/>
        <w:t>С.</w:t>
      </w:r>
      <w:r w:rsidR="00A74FF7">
        <w:rPr>
          <w:rFonts w:ascii="Times New Roman" w:hAnsi="Times New Roman"/>
          <w:color w:val="242424"/>
          <w:sz w:val="20"/>
          <w:szCs w:val="20"/>
          <w:lang w:eastAsia="ru-RU"/>
        </w:rPr>
        <w:t>В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.</w:t>
      </w:r>
      <w:r w:rsidR="00A74FF7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Ляхов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E95188" w:rsidRDefault="00E95188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E95188" w:rsidRDefault="00E95188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9E1B0C" w:rsidRPr="002E581F" w:rsidRDefault="009E1B0C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lastRenderedPageBreak/>
        <w:t>Приложение№1</w:t>
      </w:r>
    </w:p>
    <w:p w:rsidR="00C06FC3" w:rsidRPr="002E581F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УТВЕРЖДЕН</w:t>
      </w:r>
    </w:p>
    <w:p w:rsidR="00C06FC3" w:rsidRPr="002E581F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Постановлением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сельской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администрации</w:t>
      </w:r>
    </w:p>
    <w:p w:rsidR="00C06FC3" w:rsidRPr="002E581F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от «</w:t>
      </w:r>
      <w:r w:rsidR="00E95188">
        <w:rPr>
          <w:rFonts w:ascii="Times New Roman" w:hAnsi="Times New Roman"/>
          <w:color w:val="242424"/>
          <w:sz w:val="20"/>
          <w:szCs w:val="20"/>
          <w:lang w:eastAsia="ru-RU"/>
        </w:rPr>
        <w:t>2</w:t>
      </w:r>
      <w:r>
        <w:rPr>
          <w:rFonts w:ascii="Times New Roman" w:hAnsi="Times New Roman"/>
          <w:color w:val="242424"/>
          <w:sz w:val="20"/>
          <w:szCs w:val="20"/>
          <w:u w:val="single"/>
          <w:lang w:eastAsia="ru-RU"/>
        </w:rPr>
        <w:t>1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»</w:t>
      </w:r>
      <w:r w:rsidRPr="002E581F">
        <w:rPr>
          <w:rFonts w:ascii="Times New Roman" w:hAnsi="Times New Roman"/>
          <w:color w:val="242424"/>
          <w:sz w:val="20"/>
          <w:szCs w:val="20"/>
          <w:u w:val="single"/>
          <w:lang w:eastAsia="ru-RU"/>
        </w:rPr>
        <w:t>сентября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201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>8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г. № </w:t>
      </w:r>
      <w:r w:rsidR="00E95188">
        <w:rPr>
          <w:rFonts w:ascii="Times New Roman" w:hAnsi="Times New Roman"/>
          <w:color w:val="242424"/>
          <w:sz w:val="20"/>
          <w:szCs w:val="20"/>
          <w:lang w:eastAsia="ru-RU"/>
        </w:rPr>
        <w:t>54</w:t>
      </w:r>
    </w:p>
    <w:p w:rsidR="00C06FC3" w:rsidRPr="002E581F" w:rsidRDefault="00C06FC3" w:rsidP="00D12F57">
      <w:pPr>
        <w:spacing w:after="150" w:line="238" w:lineRule="atLeast"/>
        <w:jc w:val="center"/>
        <w:rPr>
          <w:rFonts w:ascii="Times New Roman" w:hAnsi="Times New Roman"/>
          <w:color w:val="242424"/>
          <w:sz w:val="20"/>
          <w:szCs w:val="20"/>
          <w:lang w:eastAsia="ru-RU"/>
        </w:rPr>
      </w:pPr>
      <w:proofErr w:type="gramStart"/>
      <w:r w:rsidRPr="002E581F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 xml:space="preserve">Порядок формирования, ведения, перечня муниципального имущества муниципального образования </w:t>
      </w:r>
      <w:r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>«</w:t>
      </w:r>
      <w:proofErr w:type="spellStart"/>
      <w:r w:rsidR="00A74FF7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>Макаричское</w:t>
      </w:r>
      <w:proofErr w:type="spellEnd"/>
      <w:r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 xml:space="preserve"> сельское поселение» Красногорского</w:t>
      </w:r>
      <w:r w:rsidRPr="002E581F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 xml:space="preserve"> район</w:t>
      </w:r>
      <w:r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>а</w:t>
      </w:r>
      <w:r w:rsidRPr="002E581F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 xml:space="preserve"> Брянской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</w:t>
      </w:r>
      <w:proofErr w:type="gramEnd"/>
      <w:r w:rsidRPr="002E581F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>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06FC3" w:rsidRPr="002E581F" w:rsidRDefault="00C06FC3" w:rsidP="00D12F57">
      <w:pPr>
        <w:spacing w:after="150" w:line="238" w:lineRule="atLeast"/>
        <w:jc w:val="center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>1. Общие положения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1.1. </w:t>
      </w:r>
      <w:proofErr w:type="gramStart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Настоящий Порядок определяет процедуру формирования, ведения, перечня муниципального имущества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муниципального образования </w:t>
      </w:r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>«</w:t>
      </w:r>
      <w:proofErr w:type="spellStart"/>
      <w:r w:rsidR="00A74FF7">
        <w:rPr>
          <w:rFonts w:ascii="Times New Roman" w:hAnsi="Times New Roman"/>
          <w:color w:val="242424"/>
          <w:sz w:val="20"/>
          <w:szCs w:val="20"/>
          <w:lang w:eastAsia="ru-RU"/>
        </w:rPr>
        <w:t>Макаричское</w:t>
      </w:r>
      <w:proofErr w:type="spellEnd"/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сельское поселение» Красногорского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район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>а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Брянской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 для субъектов малого и среднего предпринимательства, занимающихся</w:t>
      </w:r>
      <w:proofErr w:type="gramEnd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Перечень, имущество).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1.2. </w:t>
      </w:r>
      <w:proofErr w:type="gramStart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Включению в Перечень подлежит только муниципальное имущество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муниципального образования </w:t>
      </w:r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>«</w:t>
      </w:r>
      <w:proofErr w:type="spellStart"/>
      <w:r w:rsidR="00A74FF7">
        <w:rPr>
          <w:rFonts w:ascii="Times New Roman" w:hAnsi="Times New Roman"/>
          <w:color w:val="242424"/>
          <w:sz w:val="20"/>
          <w:szCs w:val="20"/>
          <w:lang w:eastAsia="ru-RU"/>
        </w:rPr>
        <w:t>Макаричское</w:t>
      </w:r>
      <w:proofErr w:type="spellEnd"/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сельское поселение» Красногорского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район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>а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Брянской области, не закрепленное на праве хозяйственного ведения или оперативного управления за муниципальными унитарными предприятиями или на праве оперативного управления за муниципальными учреждениями, а также свободное от иных прав третьих лиц (за исключением имущественных прав субъектов малого и среднего предпринимательства).</w:t>
      </w:r>
      <w:proofErr w:type="gramEnd"/>
    </w:p>
    <w:p w:rsidR="00C06FC3" w:rsidRPr="002E581F" w:rsidRDefault="00C06FC3" w:rsidP="00D12F57">
      <w:pPr>
        <w:spacing w:after="150" w:line="238" w:lineRule="atLeast"/>
        <w:jc w:val="center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>2. Порядок формирования Перечня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Изменения в Перечень, предусматривающие включение и (или) исключение имущества из Перечня, внесение изменений в сведения об имуществе, включенном в Перечень (далее – изменения) вносятся </w:t>
      </w:r>
      <w:proofErr w:type="spellStart"/>
      <w:r w:rsidR="009E1B0C">
        <w:rPr>
          <w:rFonts w:ascii="Times New Roman" w:hAnsi="Times New Roman"/>
          <w:color w:val="242424"/>
          <w:sz w:val="20"/>
          <w:szCs w:val="20"/>
          <w:lang w:eastAsia="ru-RU"/>
        </w:rPr>
        <w:t>Макаричской</w:t>
      </w:r>
      <w:proofErr w:type="spellEnd"/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сельской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администрацией Красногорского района Брянской области.</w:t>
      </w:r>
    </w:p>
    <w:p w:rsidR="00C06FC3" w:rsidRPr="002E581F" w:rsidRDefault="00C06FC3" w:rsidP="00D12F57">
      <w:pPr>
        <w:spacing w:after="150" w:line="238" w:lineRule="atLeast"/>
        <w:jc w:val="center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>3. Порядок ведения Перечня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3.1. Ведение Перечня включает в себя ведение информационной базы, содержащей сведения </w:t>
      </w:r>
      <w:proofErr w:type="gramStart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об</w:t>
      </w:r>
      <w:proofErr w:type="gramEnd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: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1) </w:t>
      </w:r>
      <w:proofErr w:type="gramStart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имуществе</w:t>
      </w:r>
      <w:proofErr w:type="gramEnd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, включенном в Перечень (наименование имущества, индивидуализирующие характеристики имущества, включенного в Перечень);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2) </w:t>
      </w:r>
      <w:proofErr w:type="gramStart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проведении</w:t>
      </w:r>
      <w:proofErr w:type="gramEnd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торгов на право заключения договоров аренды;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3) </w:t>
      </w:r>
      <w:proofErr w:type="gramStart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результатах</w:t>
      </w:r>
      <w:proofErr w:type="gramEnd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проведения торгов;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4) заключенных договорах аренды;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5) </w:t>
      </w:r>
      <w:proofErr w:type="gramStart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субъектах</w:t>
      </w:r>
      <w:proofErr w:type="gramEnd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малого и среднего предпринимательства, организациях, образующих инфраструктуру поддержки субъектов малого и среднего предпринимательства, с которыми заключены договора аренды.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3.2. Ведение Перечня осуществляется на бумажном и электронном носителях. Информационная база подлежит размещению на официальном сайте администрации Красногорского района в сети Интернет.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3.3. Внесение сведений в информационную базу, в том числе </w:t>
      </w:r>
      <w:proofErr w:type="gramStart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информационную базу, размещенную в сети Интернет осуществляется</w:t>
      </w:r>
      <w:proofErr w:type="gramEnd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в срок не позднее пяти рабочих дней с момента наступления события, послужившего основанием для внесения таких сведений.</w:t>
      </w:r>
    </w:p>
    <w:p w:rsidR="00C06FC3" w:rsidRPr="002E581F" w:rsidRDefault="00C06FC3" w:rsidP="00D12F57">
      <w:pPr>
        <w:spacing w:after="150" w:line="238" w:lineRule="atLeast"/>
        <w:jc w:val="center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>4. Порядок обязательного официального обнародования Перечня</w:t>
      </w: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lastRenderedPageBreak/>
        <w:t>Перечень, а также изменения в него подлежат обязательному обнародованию на официальном сайте администрации Красногорского района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(сельские поселения)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в сети Интернет, в срок не позднее </w:t>
      </w:r>
      <w:r w:rsidRPr="001439D0">
        <w:rPr>
          <w:rFonts w:ascii="Times New Roman" w:hAnsi="Times New Roman"/>
          <w:color w:val="242424"/>
          <w:sz w:val="20"/>
          <w:szCs w:val="20"/>
          <w:lang w:eastAsia="ru-RU"/>
        </w:rPr>
        <w:t>пяти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рабочих дней со дня утверждения Перечня или внесения в него изменений.</w:t>
      </w: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lastRenderedPageBreak/>
        <w:t>УТВЕРЖДЕНЫ</w:t>
      </w:r>
    </w:p>
    <w:p w:rsidR="00C06FC3" w:rsidRPr="002E581F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Постановлением </w:t>
      </w:r>
      <w:proofErr w:type="spellStart"/>
      <w:r w:rsidR="009E1B0C">
        <w:rPr>
          <w:rFonts w:ascii="Times New Roman" w:hAnsi="Times New Roman"/>
          <w:color w:val="242424"/>
          <w:sz w:val="20"/>
          <w:szCs w:val="20"/>
          <w:lang w:eastAsia="ru-RU"/>
        </w:rPr>
        <w:t>Макаричской</w:t>
      </w:r>
      <w:proofErr w:type="spellEnd"/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сельской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администрации</w:t>
      </w:r>
    </w:p>
    <w:p w:rsidR="00C06FC3" w:rsidRPr="002E581F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Красногорского района</w:t>
      </w:r>
    </w:p>
    <w:p w:rsidR="00C06FC3" w:rsidRPr="002E581F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от «</w:t>
      </w:r>
      <w:r w:rsidR="00E95188">
        <w:rPr>
          <w:rFonts w:ascii="Times New Roman" w:hAnsi="Times New Roman"/>
          <w:color w:val="242424"/>
          <w:sz w:val="20"/>
          <w:szCs w:val="20"/>
          <w:lang w:eastAsia="ru-RU"/>
        </w:rPr>
        <w:t>2</w:t>
      </w:r>
      <w:r>
        <w:rPr>
          <w:rFonts w:ascii="Times New Roman" w:hAnsi="Times New Roman"/>
          <w:color w:val="242424"/>
          <w:sz w:val="20"/>
          <w:szCs w:val="20"/>
          <w:u w:val="single"/>
          <w:lang w:eastAsia="ru-RU"/>
        </w:rPr>
        <w:t>1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»</w:t>
      </w:r>
      <w:r w:rsidRPr="002E581F">
        <w:rPr>
          <w:rFonts w:ascii="Times New Roman" w:hAnsi="Times New Roman"/>
          <w:color w:val="242424"/>
          <w:sz w:val="20"/>
          <w:szCs w:val="20"/>
          <w:u w:val="single"/>
          <w:lang w:eastAsia="ru-RU"/>
        </w:rPr>
        <w:t>сентября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>2018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г. № </w:t>
      </w:r>
      <w:r w:rsidR="00E95188">
        <w:rPr>
          <w:rFonts w:ascii="Times New Roman" w:hAnsi="Times New Roman"/>
          <w:color w:val="242424"/>
          <w:sz w:val="20"/>
          <w:szCs w:val="20"/>
          <w:lang w:eastAsia="ru-RU"/>
        </w:rPr>
        <w:t>54</w:t>
      </w:r>
      <w:bookmarkStart w:id="0" w:name="_GoBack"/>
      <w:bookmarkEnd w:id="0"/>
    </w:p>
    <w:p w:rsidR="00C06FC3" w:rsidRPr="002E581F" w:rsidRDefault="00C06FC3" w:rsidP="00D12F57">
      <w:pPr>
        <w:spacing w:after="150" w:line="238" w:lineRule="atLeast"/>
        <w:jc w:val="center"/>
        <w:rPr>
          <w:rFonts w:ascii="Times New Roman" w:hAnsi="Times New Roman"/>
          <w:color w:val="242424"/>
          <w:sz w:val="20"/>
          <w:szCs w:val="20"/>
          <w:lang w:eastAsia="ru-RU"/>
        </w:rPr>
      </w:pPr>
      <w:proofErr w:type="gramStart"/>
      <w:r w:rsidRPr="002E581F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>Порядок и условия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 </w:t>
      </w:r>
      <w:r w:rsidRPr="002E581F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 xml:space="preserve">муниципального образования </w:t>
      </w:r>
      <w:r w:rsidRPr="00244E23">
        <w:rPr>
          <w:rFonts w:ascii="Times New Roman" w:hAnsi="Times New Roman"/>
          <w:b/>
          <w:color w:val="242424"/>
          <w:sz w:val="20"/>
          <w:szCs w:val="20"/>
          <w:lang w:eastAsia="ru-RU"/>
        </w:rPr>
        <w:t>«</w:t>
      </w:r>
      <w:proofErr w:type="spellStart"/>
      <w:r w:rsidR="00A74FF7">
        <w:rPr>
          <w:rFonts w:ascii="Times New Roman" w:hAnsi="Times New Roman"/>
          <w:b/>
          <w:color w:val="242424"/>
          <w:sz w:val="20"/>
          <w:szCs w:val="20"/>
          <w:lang w:eastAsia="ru-RU"/>
        </w:rPr>
        <w:t>Макаричское</w:t>
      </w:r>
      <w:proofErr w:type="spellEnd"/>
      <w:r w:rsidRPr="00244E23">
        <w:rPr>
          <w:rFonts w:ascii="Times New Roman" w:hAnsi="Times New Roman"/>
          <w:b/>
          <w:color w:val="242424"/>
          <w:sz w:val="20"/>
          <w:szCs w:val="20"/>
          <w:lang w:eastAsia="ru-RU"/>
        </w:rPr>
        <w:t xml:space="preserve"> сельское поселение» Красногорского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</w:t>
      </w:r>
      <w:r w:rsidRPr="002E581F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 xml:space="preserve"> район</w:t>
      </w:r>
      <w:r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>а</w:t>
      </w:r>
      <w:r w:rsidRPr="002E581F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 xml:space="preserve"> Брянской области,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</w:t>
      </w:r>
      <w:proofErr w:type="gramEnd"/>
      <w:r w:rsidRPr="002E581F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 xml:space="preserve"> субъектов малого и среднего предпринимательства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1. </w:t>
      </w:r>
      <w:proofErr w:type="gramStart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Имущество, включенное в перечень муниципального имущества муниципального образования </w:t>
      </w:r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>«</w:t>
      </w:r>
      <w:proofErr w:type="spellStart"/>
      <w:r w:rsidR="00A74FF7">
        <w:rPr>
          <w:rFonts w:ascii="Times New Roman" w:hAnsi="Times New Roman"/>
          <w:color w:val="242424"/>
          <w:sz w:val="20"/>
          <w:szCs w:val="20"/>
          <w:lang w:eastAsia="ru-RU"/>
        </w:rPr>
        <w:t>Макаричское</w:t>
      </w:r>
      <w:proofErr w:type="spellEnd"/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сельское поселение» Красногорского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район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>а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Брянской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</w:t>
      </w:r>
      <w:proofErr w:type="gramEnd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организациям, образующим инфраструктуру поддержки субъектов малого и среднего предпринимательства (далее соответственно - Перечень, имущество), предоставляется исключительно в аренду на долгосрочной основе, на срок не менее пяти лет.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2. Арендаторами имущества могут быть: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proofErr w:type="gramStart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1)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от 24 июля 2007г. №209-ФЗ</w:t>
      </w:r>
      <w:proofErr w:type="gramEnd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«О развитии малого и среднего предпринимательства в Российской Федерации» (далее - Федеральный закон);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2)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предпринимательства, соответствующие требованиям, установленным статьей 15 Федерального закона (далее - организации).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proofErr w:type="gramStart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</w:t>
      </w:r>
      <w:proofErr w:type="gramEnd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</w:t>
      </w:r>
      <w:proofErr w:type="gramStart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 также документы, подтверждающие отнесение к субъектам малого и среднего предпринимательства в соответствии с требованиями статьи 4 и статьи 15 Федерального закона.</w:t>
      </w:r>
      <w:proofErr w:type="gramEnd"/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3. Имущество, включенное в Перечень, не может быть предоставлено в аренду категориям субъектов малого и среднего предпринимательства, перечисленным в пункте 3 статьи 14 Федерального закона, и в случаях, установленных пунктом 5 статьи 14 Федерального закона.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4. Имущество, включенное в Перечень, предоставляется в аренду по результатам торгов на право заключения договора аренды, за исключением случаев, установленных законодательством Российской Федерации. </w:t>
      </w:r>
      <w:proofErr w:type="gramStart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Решение о проведении торгов на право заключения договора аренды принимает </w:t>
      </w:r>
      <w:proofErr w:type="spellStart"/>
      <w:r w:rsidR="00A74FF7">
        <w:rPr>
          <w:rFonts w:ascii="Times New Roman" w:hAnsi="Times New Roman"/>
          <w:color w:val="242424"/>
          <w:sz w:val="20"/>
          <w:szCs w:val="20"/>
          <w:lang w:eastAsia="ru-RU"/>
        </w:rPr>
        <w:t>Макаричская</w:t>
      </w:r>
      <w:proofErr w:type="spellEnd"/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сельская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администрация Красногорского района Брянской области в трехмесячный срок с даты включения имущества в Перечень или с даты внесения изменений в Перечень в связи с прекращением прав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в отношении имущества, включенного в Перечень.</w:t>
      </w:r>
      <w:proofErr w:type="gramEnd"/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lastRenderedPageBreak/>
        <w:t>Торги проводятся в соответствии с порядком, установленным Федеральным законом «О защите конкуренции».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5. Арендаторами муниципального имущества муниципального образования </w:t>
      </w:r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>«</w:t>
      </w:r>
      <w:proofErr w:type="spellStart"/>
      <w:r w:rsidR="00A74FF7">
        <w:rPr>
          <w:rFonts w:ascii="Times New Roman" w:hAnsi="Times New Roman"/>
          <w:color w:val="242424"/>
          <w:sz w:val="20"/>
          <w:szCs w:val="20"/>
          <w:lang w:eastAsia="ru-RU"/>
        </w:rPr>
        <w:t>Макаричское</w:t>
      </w:r>
      <w:proofErr w:type="spellEnd"/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сельское поселение» Красногорского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район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>а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Брянской области, включенного в Перечень, не могут быть субъекты предпринимательства, организации: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занимающиеся производством подакцизных товаров, а также добычей и реализацией полезных ископаемых (за исключением общераспространенных полезных ископаемых);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кредитные организации, страховые организации, инвестиционные фонды, негосударственные пенсионные фонды, профессиональные участники рынка ценных бумаг, ломбарды;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являющиеся участниками соглашений о разделе продукции;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proofErr w:type="gramStart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осуществляющие</w:t>
      </w:r>
      <w:proofErr w:type="gramEnd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предпринимательскую деятельность в сфере игорного бизнеса;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находящиеся в стадии реорганизации, ликвидации или банкротства в соответствии с законодательством Российской Федерации;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proofErr w:type="gramStart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имеющие задолженность по налоговым платежам в бюджеты всех уровней и во внебюджетные фонды;</w:t>
      </w:r>
      <w:proofErr w:type="gramEnd"/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proofErr w:type="gramStart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имеющие</w:t>
      </w:r>
      <w:proofErr w:type="gramEnd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просроченную задолженность по заработной плате работников;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имеющие уровень заработной платы работников ниже величины прожиточного минимума на душу населения, установленной для трудоспособного населения в </w:t>
      </w:r>
      <w:proofErr w:type="spellStart"/>
      <w:r w:rsidR="009E1B0C">
        <w:rPr>
          <w:rFonts w:ascii="Times New Roman" w:hAnsi="Times New Roman"/>
          <w:color w:val="242424"/>
          <w:sz w:val="20"/>
          <w:szCs w:val="20"/>
          <w:lang w:eastAsia="ru-RU"/>
        </w:rPr>
        <w:t>Макаричском</w:t>
      </w:r>
      <w:proofErr w:type="spellEnd"/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сельском поселении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Красногорском районе Брянской области;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имеющие решение арбитражного суда о признании участника торгов банкротом или об открытии конкурсного производства;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в </w:t>
      </w:r>
      <w:proofErr w:type="gramStart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отношении</w:t>
      </w:r>
      <w:proofErr w:type="gramEnd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которых вынесено решение об административном наказании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торгах.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6. Начальный размер арендной платы устанавливается с учетом норм законодательства, регулирующего оценочную деятельность в Российской Федерации.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7. Использование арендаторами имущества, включенного в Перечень, не по целевому назначению, продажа переданного субъектам малого и среднего предпринимательства и организациям имущества, переуступка прав пользования имуществом, передача прав пользования имуществом в залог и внесение прав пользования таким имуществом в уставный капитал любого иного субъекта хозяйственной деятельности не допускаются.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8. В целях </w:t>
      </w:r>
      <w:proofErr w:type="gramStart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контроля за</w:t>
      </w:r>
      <w:proofErr w:type="gramEnd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</w:t>
      </w:r>
      <w:proofErr w:type="spellStart"/>
      <w:r w:rsidR="009E1B0C">
        <w:rPr>
          <w:rFonts w:ascii="Times New Roman" w:hAnsi="Times New Roman"/>
          <w:color w:val="242424"/>
          <w:sz w:val="20"/>
          <w:szCs w:val="20"/>
          <w:lang w:eastAsia="ru-RU"/>
        </w:rPr>
        <w:t>Макаричской</w:t>
      </w:r>
      <w:proofErr w:type="spellEnd"/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сельской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администрации Красногорского района осуществлять проверки его использования не реже одного раза в год.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9. 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закона, договор аренды подлежит расторжению.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10. По истечении срока действия договора аренды субъект предпринимательства, организация обязаны возвратить </w:t>
      </w:r>
      <w:proofErr w:type="spellStart"/>
      <w:r w:rsidR="009E1B0C">
        <w:rPr>
          <w:rFonts w:ascii="Times New Roman" w:hAnsi="Times New Roman"/>
          <w:color w:val="242424"/>
          <w:sz w:val="20"/>
          <w:szCs w:val="20"/>
          <w:lang w:eastAsia="ru-RU"/>
        </w:rPr>
        <w:t>Макаричской</w:t>
      </w:r>
      <w:proofErr w:type="spellEnd"/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сельской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администрации Красногорского района муниципальное имущество по акту приема-передачи.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11. Предоставление субъектам предпринимательства льгот по арендной плате не может носить индивидуального характера.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12. К социально значимым, приоритетным видам деятельности относятся: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производство строительных материалов, изделий и конструкций, товаров широкого потребления, изделий пищевой и легкой промышленности;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lastRenderedPageBreak/>
        <w:t>производство, переработка и (или) хранение сельскохозяйственной продукции;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овощеводство, садоводство, виноградарство;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строительство, реконструкция и ремонт зданий и сооружений, монтаж инженерных сетей и оборудования;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розничная торговля, общественное питание, предоставление платных услуг.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13. Льготы по арендной плате предоставляются субъектам предпринимательства при выполнении ими следующих условий: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подача субъектом предпринимательства в </w:t>
      </w:r>
      <w:proofErr w:type="spellStart"/>
      <w:r w:rsidR="009E1B0C">
        <w:rPr>
          <w:rFonts w:ascii="Times New Roman" w:hAnsi="Times New Roman"/>
          <w:color w:val="242424"/>
          <w:sz w:val="20"/>
          <w:szCs w:val="20"/>
          <w:lang w:eastAsia="ru-RU"/>
        </w:rPr>
        <w:t>Макаричскую</w:t>
      </w:r>
      <w:proofErr w:type="spellEnd"/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сельскую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администрацию Красногорского района Брянской области заявления о предоставлении льготы по арендной плате в соответствии с пунктом 14 настоящего Положения;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предоставление муниципального имущества, включенного в Перечень, субъекту предпринимательства для осуществления им социально значимого вида деятельности;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осуществление субъектом предпринимательства социально значимого вида деятельности в период действия договора аренды.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14. Для получения льготы по арендной плате субъект предпринимательства, с которым заключен в установленном порядке договор аренды, обращается в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</w:t>
      </w:r>
      <w:proofErr w:type="spellStart"/>
      <w:r w:rsidR="009E1B0C">
        <w:rPr>
          <w:rFonts w:ascii="Times New Roman" w:hAnsi="Times New Roman"/>
          <w:color w:val="242424"/>
          <w:sz w:val="20"/>
          <w:szCs w:val="20"/>
          <w:lang w:eastAsia="ru-RU"/>
        </w:rPr>
        <w:t>Макаричскую</w:t>
      </w:r>
      <w:proofErr w:type="spellEnd"/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сельскую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администрацию Красногорского района Брянской области с письменным заявлением о предоставлении льготы по арендной плате, в котором указывает осуществляемый субъектом предпринимательства социально значимый вид деятельности, установленный пунктом 12 настоящего Положения.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15. </w:t>
      </w:r>
      <w:proofErr w:type="spellStart"/>
      <w:r w:rsidR="00A74FF7">
        <w:rPr>
          <w:rFonts w:ascii="Times New Roman" w:hAnsi="Times New Roman"/>
          <w:color w:val="242424"/>
          <w:sz w:val="20"/>
          <w:szCs w:val="20"/>
          <w:lang w:eastAsia="ru-RU"/>
        </w:rPr>
        <w:t>Макаричская</w:t>
      </w:r>
      <w:proofErr w:type="spellEnd"/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сельская а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дминистрация Красногорского района рассматривает заявление о предоставлении льготы по арендной плате и по результатам его рассмотрения выносит предложение для принятия решения: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об отказе в предоставлении льготы по арендной плате в случае, если субъект предпринимательства не осуществляет ни один из социально значимых видов деятельности, указанных в пункте 12 настоящего Положения.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О принятом решении </w:t>
      </w:r>
      <w:proofErr w:type="spellStart"/>
      <w:r w:rsidR="00A74FF7">
        <w:rPr>
          <w:rFonts w:ascii="Times New Roman" w:hAnsi="Times New Roman"/>
          <w:color w:val="242424"/>
          <w:sz w:val="20"/>
          <w:szCs w:val="20"/>
          <w:lang w:eastAsia="ru-RU"/>
        </w:rPr>
        <w:t>Макаричская</w:t>
      </w:r>
      <w:proofErr w:type="spellEnd"/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сельская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администрация Красногорского района уведомляет в письменной форме субъект предпринимательства в течение 30 календарных дней со дня регистрации поступившего заявления.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16. В случае прекращения субъектом предпринимательства осуществления социально значимого вида деятельности льгота по арендной плате отменяется.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17. </w:t>
      </w:r>
      <w:proofErr w:type="gramStart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Муниципальное имущество муниципального образования </w:t>
      </w:r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>«</w:t>
      </w:r>
      <w:proofErr w:type="spellStart"/>
      <w:r w:rsidR="00A74FF7">
        <w:rPr>
          <w:rFonts w:ascii="Times New Roman" w:hAnsi="Times New Roman"/>
          <w:color w:val="242424"/>
          <w:sz w:val="20"/>
          <w:szCs w:val="20"/>
          <w:lang w:eastAsia="ru-RU"/>
        </w:rPr>
        <w:t>Макаричское</w:t>
      </w:r>
      <w:proofErr w:type="spellEnd"/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сельское поселение» Красногорского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район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>а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Брянской области, включенное в перечень, не подлежит отчуждению в частную собственность, за исключением случаев, предусмотренных частью 2.1.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о внесении изменений в отдельные законодательные акты Российской Федерации».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18. </w:t>
      </w:r>
      <w:proofErr w:type="gramStart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Субъекты малого и среднего предпринимательства при возмездном отчуждении арендуемого ими недвижимого имущества, находящегося в муниципальной собственности муниципального образования </w:t>
      </w:r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>«</w:t>
      </w:r>
      <w:proofErr w:type="spellStart"/>
      <w:r w:rsidR="00A74FF7">
        <w:rPr>
          <w:rFonts w:ascii="Times New Roman" w:hAnsi="Times New Roman"/>
          <w:color w:val="242424"/>
          <w:sz w:val="20"/>
          <w:szCs w:val="20"/>
          <w:lang w:eastAsia="ru-RU"/>
        </w:rPr>
        <w:t>Макаричское</w:t>
      </w:r>
      <w:proofErr w:type="spellEnd"/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сельское поселение» Красногорского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район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>а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Брянской области, пользуются преимущественным правом на приобретение в собственность такого имущества в порядке и на условиях, установленных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</w:t>
      </w:r>
      <w:proofErr w:type="gramEnd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или в муниципальной собственности муниципального образования </w:t>
      </w:r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>«</w:t>
      </w:r>
      <w:proofErr w:type="spellStart"/>
      <w:r w:rsidR="00A74FF7">
        <w:rPr>
          <w:rFonts w:ascii="Times New Roman" w:hAnsi="Times New Roman"/>
          <w:color w:val="242424"/>
          <w:sz w:val="20"/>
          <w:szCs w:val="20"/>
          <w:lang w:eastAsia="ru-RU"/>
        </w:rPr>
        <w:t>Макаричское</w:t>
      </w:r>
      <w:proofErr w:type="spellEnd"/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сельское поселение» Красногорского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район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>а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Брянской области и арендуемого субъектами малого и среднего предпринимательства и о внесении изменений в отдельные законодательные акты Российской Федерации».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19.Вопросы предоставления имущественной поддержки субъектам малого предпринимательства, не урегулированные настоящим Порядком, определяются действующим законодательством Российской Федерации.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lastRenderedPageBreak/>
        <w:t xml:space="preserve">20.Использование муниципального имущества муниципального образования </w:t>
      </w:r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>«</w:t>
      </w:r>
      <w:proofErr w:type="spellStart"/>
      <w:r w:rsidR="00A74FF7">
        <w:rPr>
          <w:rFonts w:ascii="Times New Roman" w:hAnsi="Times New Roman"/>
          <w:color w:val="242424"/>
          <w:sz w:val="20"/>
          <w:szCs w:val="20"/>
          <w:lang w:eastAsia="ru-RU"/>
        </w:rPr>
        <w:t>Макаричское</w:t>
      </w:r>
      <w:proofErr w:type="spellEnd"/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сельское поселение» Красногорского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район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>а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Брянской области не по целевому назначению, переуступка прав или передача прав пользования в залог, а также внесение прав пользования таким имуществом в уставный капитал любого иного субъекта хозяйственной деятельности не допускаются.</w:t>
      </w:r>
    </w:p>
    <w:p w:rsidR="00C06FC3" w:rsidRPr="002E581F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Приложение №3</w:t>
      </w:r>
    </w:p>
    <w:p w:rsidR="00C06FC3" w:rsidRPr="002E581F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к Постановлению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сельской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администрации</w:t>
      </w:r>
    </w:p>
    <w:p w:rsidR="00C06FC3" w:rsidRPr="002E581F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от «</w:t>
      </w:r>
      <w:r w:rsidR="009E1B0C">
        <w:rPr>
          <w:rFonts w:ascii="Times New Roman" w:hAnsi="Times New Roman"/>
          <w:color w:val="242424"/>
          <w:sz w:val="20"/>
          <w:szCs w:val="20"/>
          <w:lang w:eastAsia="ru-RU"/>
        </w:rPr>
        <w:t>21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»</w:t>
      </w:r>
      <w:r w:rsidRPr="002E581F">
        <w:rPr>
          <w:rFonts w:ascii="Times New Roman" w:hAnsi="Times New Roman"/>
          <w:color w:val="242424"/>
          <w:sz w:val="20"/>
          <w:szCs w:val="20"/>
          <w:u w:val="single"/>
          <w:lang w:eastAsia="ru-RU"/>
        </w:rPr>
        <w:t>сентября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>2018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г. № </w:t>
      </w:r>
      <w:r w:rsidR="009E1B0C">
        <w:rPr>
          <w:rFonts w:ascii="Times New Roman" w:hAnsi="Times New Roman"/>
          <w:color w:val="242424"/>
          <w:sz w:val="20"/>
          <w:szCs w:val="20"/>
          <w:lang w:eastAsia="ru-RU"/>
        </w:rPr>
        <w:t>54</w:t>
      </w:r>
    </w:p>
    <w:p w:rsidR="00C06FC3" w:rsidRPr="002E581F" w:rsidRDefault="00C06FC3" w:rsidP="00D12F57">
      <w:pPr>
        <w:spacing w:after="150" w:line="238" w:lineRule="atLeast"/>
        <w:jc w:val="center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Перечень муниципального имущества,</w:t>
      </w:r>
    </w:p>
    <w:p w:rsidR="00C06FC3" w:rsidRPr="002E581F" w:rsidRDefault="00C06FC3" w:rsidP="00D12F57">
      <w:pPr>
        <w:spacing w:line="238" w:lineRule="atLeast"/>
        <w:jc w:val="center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7"/>
        <w:gridCol w:w="1752"/>
        <w:gridCol w:w="921"/>
        <w:gridCol w:w="1398"/>
        <w:gridCol w:w="915"/>
        <w:gridCol w:w="1463"/>
        <w:gridCol w:w="1176"/>
        <w:gridCol w:w="1463"/>
      </w:tblGrid>
      <w:tr w:rsidR="00C06FC3" w:rsidRPr="002E581F" w:rsidTr="00D12F57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п</w:t>
            </w:r>
            <w:proofErr w:type="gramEnd"/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Местонахождение, наименование, объекта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Площадь объекта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Целевое назначение использования объекта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Отметка о внесении в Перечень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Отметка об исключении из Перечня</w:t>
            </w:r>
          </w:p>
        </w:tc>
      </w:tr>
      <w:tr w:rsidR="00C06FC3" w:rsidRPr="002E581F" w:rsidTr="00D12F57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Дата внесения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Основание</w:t>
            </w:r>
          </w:p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(наименование, дата и номер док-та)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Дата исключения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Основание</w:t>
            </w:r>
          </w:p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(наименование, дата и номер док-та)</w:t>
            </w:r>
          </w:p>
        </w:tc>
      </w:tr>
      <w:tr w:rsidR="00C06FC3" w:rsidRPr="002E581F" w:rsidTr="00D12F5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</w:tr>
      <w:tr w:rsidR="00C06FC3" w:rsidRPr="002E581F" w:rsidTr="00D12F5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</w:tr>
    </w:tbl>
    <w:p w:rsidR="00C06FC3" w:rsidRPr="002E581F" w:rsidRDefault="00C06FC3">
      <w:pPr>
        <w:rPr>
          <w:rFonts w:ascii="Times New Roman" w:hAnsi="Times New Roman"/>
        </w:rPr>
      </w:pPr>
    </w:p>
    <w:sectPr w:rsidR="00C06FC3" w:rsidRPr="002E581F" w:rsidSect="00A8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07CEF"/>
    <w:multiLevelType w:val="multilevel"/>
    <w:tmpl w:val="9CE2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F57"/>
    <w:rsid w:val="00065DC6"/>
    <w:rsid w:val="0007231E"/>
    <w:rsid w:val="000B3A49"/>
    <w:rsid w:val="000E609B"/>
    <w:rsid w:val="00107583"/>
    <w:rsid w:val="00110454"/>
    <w:rsid w:val="001439D0"/>
    <w:rsid w:val="00164568"/>
    <w:rsid w:val="00195DB7"/>
    <w:rsid w:val="00244E23"/>
    <w:rsid w:val="00273281"/>
    <w:rsid w:val="002A26F1"/>
    <w:rsid w:val="002C4CAD"/>
    <w:rsid w:val="002E581F"/>
    <w:rsid w:val="00310602"/>
    <w:rsid w:val="00336F12"/>
    <w:rsid w:val="0038474A"/>
    <w:rsid w:val="003B4A61"/>
    <w:rsid w:val="004B1D03"/>
    <w:rsid w:val="00560844"/>
    <w:rsid w:val="005A300C"/>
    <w:rsid w:val="005D5320"/>
    <w:rsid w:val="006D2227"/>
    <w:rsid w:val="007C4A85"/>
    <w:rsid w:val="00831B77"/>
    <w:rsid w:val="008A3511"/>
    <w:rsid w:val="008F082D"/>
    <w:rsid w:val="0093083B"/>
    <w:rsid w:val="00942707"/>
    <w:rsid w:val="00961948"/>
    <w:rsid w:val="009E1B0C"/>
    <w:rsid w:val="00A25A62"/>
    <w:rsid w:val="00A42373"/>
    <w:rsid w:val="00A74FF7"/>
    <w:rsid w:val="00A8123C"/>
    <w:rsid w:val="00B24C01"/>
    <w:rsid w:val="00B917F0"/>
    <w:rsid w:val="00BA1E8D"/>
    <w:rsid w:val="00C06FC3"/>
    <w:rsid w:val="00C10100"/>
    <w:rsid w:val="00D0189E"/>
    <w:rsid w:val="00D12F57"/>
    <w:rsid w:val="00E10E10"/>
    <w:rsid w:val="00E329E7"/>
    <w:rsid w:val="00E9241F"/>
    <w:rsid w:val="00E95188"/>
    <w:rsid w:val="00EB5A40"/>
    <w:rsid w:val="00F3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12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384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2F5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8474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D12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53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3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3062</Words>
  <Characters>17456</Characters>
  <Application>Microsoft Office Word</Application>
  <DocSecurity>0</DocSecurity>
  <Lines>145</Lines>
  <Paragraphs>40</Paragraphs>
  <ScaleCrop>false</ScaleCrop>
  <Company>SPecialiST RePack</Company>
  <LinksUpToDate>false</LinksUpToDate>
  <CharactersWithSpaces>20478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Makarichi</cp:lastModifiedBy>
  <cp:revision>7</cp:revision>
  <dcterms:created xsi:type="dcterms:W3CDTF">2018-09-03T09:37:00Z</dcterms:created>
  <dcterms:modified xsi:type="dcterms:W3CDTF">2018-11-22T13:01:00Z</dcterms:modified>
</cp:coreProperties>
</file>