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24" w:rsidRPr="00A34D24" w:rsidRDefault="00C86C9C" w:rsidP="0073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24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34D24" w:rsidRPr="00A34D2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34D24" w:rsidRPr="00A34D24" w:rsidRDefault="00A34D24" w:rsidP="00A34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D24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C1794A" w:rsidRDefault="00C1794A" w:rsidP="00C1794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Красногорский район</w:t>
      </w:r>
    </w:p>
    <w:p w:rsidR="00A34D24" w:rsidRPr="00A34D24" w:rsidRDefault="00B72CBC" w:rsidP="00A34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Колюдовский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C1794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A34D24" w:rsidRPr="00A34D24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</w:p>
    <w:p w:rsidR="00A34D24" w:rsidRPr="00A34D24" w:rsidRDefault="00A34D24" w:rsidP="00A34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D24" w:rsidRPr="00A34D24" w:rsidRDefault="00A34D24" w:rsidP="00A34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D24">
        <w:rPr>
          <w:rFonts w:ascii="Times New Roman" w:hAnsi="Times New Roman" w:cs="Times New Roman"/>
          <w:sz w:val="28"/>
          <w:szCs w:val="28"/>
        </w:rPr>
        <w:t>Решение</w:t>
      </w:r>
    </w:p>
    <w:p w:rsidR="00A34D24" w:rsidRPr="00A34D24" w:rsidRDefault="00A34D24" w:rsidP="00A34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3D" w:rsidRDefault="00A34D24" w:rsidP="00A34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D24">
        <w:rPr>
          <w:rFonts w:ascii="Times New Roman" w:hAnsi="Times New Roman" w:cs="Times New Roman"/>
          <w:sz w:val="28"/>
          <w:szCs w:val="28"/>
        </w:rPr>
        <w:t xml:space="preserve">от </w:t>
      </w:r>
      <w:r w:rsidR="00B72CBC">
        <w:rPr>
          <w:rFonts w:ascii="Times New Roman" w:hAnsi="Times New Roman" w:cs="Times New Roman"/>
          <w:sz w:val="28"/>
          <w:szCs w:val="28"/>
        </w:rPr>
        <w:t>02</w:t>
      </w:r>
      <w:r w:rsidR="00630725">
        <w:rPr>
          <w:rFonts w:ascii="Times New Roman" w:hAnsi="Times New Roman" w:cs="Times New Roman"/>
          <w:sz w:val="28"/>
          <w:szCs w:val="28"/>
        </w:rPr>
        <w:t>.</w:t>
      </w:r>
      <w:r w:rsidR="00B72CBC">
        <w:rPr>
          <w:rFonts w:ascii="Times New Roman" w:hAnsi="Times New Roman" w:cs="Times New Roman"/>
          <w:sz w:val="28"/>
          <w:szCs w:val="28"/>
        </w:rPr>
        <w:t>10</w:t>
      </w:r>
      <w:r w:rsidRPr="00A34D24">
        <w:rPr>
          <w:rFonts w:ascii="Times New Roman" w:hAnsi="Times New Roman" w:cs="Times New Roman"/>
          <w:sz w:val="28"/>
          <w:szCs w:val="28"/>
        </w:rPr>
        <w:t>. 201</w:t>
      </w:r>
      <w:r w:rsidR="00B72CBC">
        <w:rPr>
          <w:rFonts w:ascii="Times New Roman" w:hAnsi="Times New Roman" w:cs="Times New Roman"/>
          <w:sz w:val="28"/>
          <w:szCs w:val="28"/>
        </w:rPr>
        <w:t>8</w:t>
      </w:r>
      <w:r w:rsidRPr="00A34D24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CBC">
        <w:rPr>
          <w:rFonts w:ascii="Times New Roman" w:hAnsi="Times New Roman" w:cs="Times New Roman"/>
          <w:sz w:val="28"/>
          <w:szCs w:val="28"/>
        </w:rPr>
        <w:t>3-171</w:t>
      </w:r>
    </w:p>
    <w:p w:rsidR="00A34D24" w:rsidRPr="00A34D24" w:rsidRDefault="00B72CBC" w:rsidP="00A34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олюды</w:t>
      </w:r>
      <w:proofErr w:type="spellEnd"/>
    </w:p>
    <w:p w:rsidR="00586EF3" w:rsidRDefault="00586EF3" w:rsidP="00945862">
      <w:pPr>
        <w:autoSpaceDE w:val="0"/>
        <w:autoSpaceDN w:val="0"/>
        <w:adjustRightInd w:val="0"/>
        <w:spacing w:after="0" w:line="240" w:lineRule="auto"/>
        <w:ind w:right="4435"/>
        <w:jc w:val="both"/>
        <w:rPr>
          <w:rFonts w:ascii="Times New Roman" w:hAnsi="Times New Roman" w:cs="Times New Roman"/>
          <w:sz w:val="24"/>
          <w:szCs w:val="24"/>
        </w:rPr>
      </w:pPr>
    </w:p>
    <w:p w:rsidR="00586EF3" w:rsidRDefault="00586EF3" w:rsidP="00F5633D">
      <w:pPr>
        <w:autoSpaceDE w:val="0"/>
        <w:autoSpaceDN w:val="0"/>
        <w:adjustRightInd w:val="0"/>
        <w:spacing w:after="0" w:line="240" w:lineRule="auto"/>
        <w:ind w:right="4435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386">
        <w:rPr>
          <w:rFonts w:ascii="Times New Roman" w:hAnsi="Times New Roman" w:cs="Times New Roman"/>
          <w:iCs/>
          <w:sz w:val="28"/>
          <w:szCs w:val="28"/>
        </w:rPr>
        <w:t>Об утверждении</w:t>
      </w:r>
      <w:r w:rsidR="00655F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74E6F">
        <w:rPr>
          <w:rFonts w:ascii="Times New Roman" w:hAnsi="Times New Roman" w:cs="Times New Roman"/>
          <w:iCs/>
          <w:sz w:val="28"/>
          <w:szCs w:val="28"/>
        </w:rPr>
        <w:t xml:space="preserve">методики расчета </w:t>
      </w:r>
      <w:r w:rsidR="00655FE2">
        <w:rPr>
          <w:rFonts w:ascii="Times New Roman" w:hAnsi="Times New Roman" w:cs="Times New Roman"/>
          <w:iCs/>
          <w:sz w:val="28"/>
          <w:szCs w:val="28"/>
        </w:rPr>
        <w:t>базовых ставок платы (плата за</w:t>
      </w:r>
      <w:r w:rsidR="00785294">
        <w:rPr>
          <w:rFonts w:ascii="Times New Roman" w:hAnsi="Times New Roman" w:cs="Times New Roman"/>
          <w:iCs/>
          <w:sz w:val="28"/>
          <w:szCs w:val="28"/>
        </w:rPr>
        <w:t xml:space="preserve"> социальный </w:t>
      </w:r>
      <w:proofErr w:type="spellStart"/>
      <w:r w:rsidR="00655FE2">
        <w:rPr>
          <w:rFonts w:ascii="Times New Roman" w:hAnsi="Times New Roman" w:cs="Times New Roman"/>
          <w:iCs/>
          <w:sz w:val="28"/>
          <w:szCs w:val="28"/>
        </w:rPr>
        <w:t>найм</w:t>
      </w:r>
      <w:proofErr w:type="spellEnd"/>
      <w:r w:rsidR="00655FE2">
        <w:rPr>
          <w:rFonts w:ascii="Times New Roman" w:hAnsi="Times New Roman" w:cs="Times New Roman"/>
          <w:iCs/>
          <w:sz w:val="28"/>
          <w:szCs w:val="28"/>
        </w:rPr>
        <w:t>) и коэффициентов соответствия платы для нанимателей жилья за пользовани</w:t>
      </w:r>
      <w:r w:rsidR="00B72CBC">
        <w:rPr>
          <w:rFonts w:ascii="Times New Roman" w:hAnsi="Times New Roman" w:cs="Times New Roman"/>
          <w:iCs/>
          <w:sz w:val="28"/>
          <w:szCs w:val="28"/>
        </w:rPr>
        <w:t xml:space="preserve">е жилыми помещениями в </w:t>
      </w:r>
      <w:proofErr w:type="spellStart"/>
      <w:r w:rsidR="00B72CBC">
        <w:rPr>
          <w:rFonts w:ascii="Times New Roman" w:hAnsi="Times New Roman" w:cs="Times New Roman"/>
          <w:iCs/>
          <w:sz w:val="28"/>
          <w:szCs w:val="28"/>
        </w:rPr>
        <w:t>Колюдовском</w:t>
      </w:r>
      <w:proofErr w:type="spellEnd"/>
      <w:r w:rsidR="00B72CBC">
        <w:rPr>
          <w:rFonts w:ascii="Times New Roman" w:hAnsi="Times New Roman" w:cs="Times New Roman"/>
          <w:iCs/>
          <w:sz w:val="28"/>
          <w:szCs w:val="28"/>
        </w:rPr>
        <w:t xml:space="preserve"> сельском</w:t>
      </w:r>
      <w:proofErr w:type="gramEnd"/>
      <w:r w:rsidR="00655FE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55FE2">
        <w:rPr>
          <w:rFonts w:ascii="Times New Roman" w:hAnsi="Times New Roman" w:cs="Times New Roman"/>
          <w:iCs/>
          <w:sz w:val="28"/>
          <w:szCs w:val="28"/>
        </w:rPr>
        <w:t>поселении</w:t>
      </w:r>
      <w:proofErr w:type="gramEnd"/>
      <w:r w:rsidR="00B72CBC">
        <w:rPr>
          <w:rFonts w:ascii="Times New Roman" w:hAnsi="Times New Roman" w:cs="Times New Roman"/>
          <w:iCs/>
          <w:sz w:val="28"/>
          <w:szCs w:val="28"/>
        </w:rPr>
        <w:t xml:space="preserve"> Красногорского района</w:t>
      </w:r>
      <w:r w:rsidR="00655F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37386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Брянской области</w:t>
      </w:r>
    </w:p>
    <w:p w:rsidR="00945862" w:rsidRPr="005E0F70" w:rsidRDefault="00945862" w:rsidP="00F5633D">
      <w:pPr>
        <w:autoSpaceDE w:val="0"/>
        <w:autoSpaceDN w:val="0"/>
        <w:adjustRightInd w:val="0"/>
        <w:spacing w:after="0" w:line="240" w:lineRule="auto"/>
        <w:ind w:right="4435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</w:pPr>
    </w:p>
    <w:p w:rsidR="00586EF3" w:rsidRPr="005E0F70" w:rsidRDefault="00586EF3" w:rsidP="00586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E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620FE" w:rsidRPr="00974E6F">
        <w:rPr>
          <w:rFonts w:ascii="Times New Roman" w:hAnsi="Times New Roman" w:cs="Times New Roman"/>
          <w:sz w:val="28"/>
          <w:szCs w:val="28"/>
        </w:rPr>
        <w:t>В соответствии со статьями 7, 43. Федерального закона от 06.10.2003 года № 131-ФЗ «Об общих принципах организации местного самоуправления в Российской Федерации</w:t>
      </w:r>
      <w:r w:rsidR="00F620FE" w:rsidRPr="00974E6F">
        <w:rPr>
          <w:rFonts w:ascii="Times New Roman" w:hAnsi="Times New Roman" w:cs="Times New Roman"/>
          <w:b/>
          <w:sz w:val="28"/>
          <w:szCs w:val="28"/>
        </w:rPr>
        <w:t>»</w:t>
      </w:r>
      <w:r w:rsidR="00F620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5FE2" w:rsidRPr="005E0F70">
        <w:rPr>
          <w:rFonts w:ascii="Times New Roman" w:hAnsi="Times New Roman" w:cs="Times New Roman"/>
          <w:sz w:val="28"/>
          <w:szCs w:val="28"/>
        </w:rPr>
        <w:t xml:space="preserve"> ст. 154,</w:t>
      </w:r>
      <w:r w:rsidR="00974E6F">
        <w:rPr>
          <w:rFonts w:ascii="Times New Roman" w:hAnsi="Times New Roman" w:cs="Times New Roman"/>
          <w:sz w:val="28"/>
          <w:szCs w:val="28"/>
        </w:rPr>
        <w:t xml:space="preserve"> </w:t>
      </w:r>
      <w:r w:rsidR="00655FE2" w:rsidRPr="005E0F70">
        <w:rPr>
          <w:rFonts w:ascii="Times New Roman" w:hAnsi="Times New Roman" w:cs="Times New Roman"/>
          <w:sz w:val="28"/>
          <w:szCs w:val="28"/>
        </w:rPr>
        <w:t xml:space="preserve">ч.4 ст. 156 Жилищного Кодекса Российской Федерации, </w:t>
      </w:r>
      <w:r w:rsidR="00974E6F">
        <w:rPr>
          <w:rFonts w:ascii="Times New Roman" w:hAnsi="Times New Roman" w:cs="Times New Roman"/>
          <w:sz w:val="28"/>
          <w:szCs w:val="28"/>
        </w:rPr>
        <w:t xml:space="preserve"> приказом Минстроя Российской Федерации </w:t>
      </w:r>
      <w:proofErr w:type="gramStart"/>
      <w:r w:rsidR="00974E6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74E6F">
        <w:rPr>
          <w:rFonts w:ascii="Times New Roman" w:hAnsi="Times New Roman" w:cs="Times New Roman"/>
          <w:sz w:val="28"/>
          <w:szCs w:val="28"/>
        </w:rPr>
        <w:t xml:space="preserve"> 02.12.1996 года № 17-152 «Об утверждении «Методических указаний по расчету ставок платы за </w:t>
      </w:r>
      <w:proofErr w:type="spellStart"/>
      <w:proofErr w:type="gramStart"/>
      <w:r w:rsidR="00974E6F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974E6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74E6F">
        <w:rPr>
          <w:rFonts w:ascii="Times New Roman" w:hAnsi="Times New Roman" w:cs="Times New Roman"/>
          <w:sz w:val="28"/>
          <w:szCs w:val="28"/>
        </w:rPr>
        <w:t xml:space="preserve"> отчислений на капитальный ремонт жилых помещений включаемых в ставку платы за содержание и ремонт жилья (техническое обслуживание), муниципального и государственного жилищного Фонда, </w:t>
      </w:r>
      <w:r w:rsidR="00655FE2" w:rsidRPr="005E0F70">
        <w:rPr>
          <w:rFonts w:ascii="Times New Roman" w:hAnsi="Times New Roman" w:cs="Times New Roman"/>
          <w:sz w:val="28"/>
          <w:szCs w:val="28"/>
        </w:rPr>
        <w:t>Уст</w:t>
      </w:r>
      <w:r w:rsidR="00B72CBC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сель</w:t>
      </w:r>
      <w:r w:rsidR="00655FE2" w:rsidRPr="005E0F70">
        <w:rPr>
          <w:rFonts w:ascii="Times New Roman" w:hAnsi="Times New Roman" w:cs="Times New Roman"/>
          <w:sz w:val="28"/>
          <w:szCs w:val="28"/>
        </w:rPr>
        <w:t>ско</w:t>
      </w:r>
      <w:r w:rsidR="00FB6BE5">
        <w:rPr>
          <w:rFonts w:ascii="Times New Roman" w:hAnsi="Times New Roman" w:cs="Times New Roman"/>
          <w:sz w:val="28"/>
          <w:szCs w:val="28"/>
        </w:rPr>
        <w:t>го</w:t>
      </w:r>
      <w:r w:rsidR="00655FE2" w:rsidRPr="005E0F7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72CBC">
        <w:rPr>
          <w:rFonts w:ascii="Times New Roman" w:hAnsi="Times New Roman" w:cs="Times New Roman"/>
          <w:sz w:val="28"/>
          <w:szCs w:val="28"/>
        </w:rPr>
        <w:t xml:space="preserve"> Красногорского района</w:t>
      </w:r>
      <w:r w:rsidRPr="005E0F70">
        <w:rPr>
          <w:rFonts w:ascii="Times New Roman" w:hAnsi="Times New Roman" w:cs="Times New Roman"/>
          <w:sz w:val="28"/>
          <w:szCs w:val="28"/>
        </w:rPr>
        <w:t xml:space="preserve"> </w:t>
      </w:r>
      <w:r w:rsidR="00FB6BE5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586EF3" w:rsidRPr="00337386" w:rsidRDefault="00586EF3" w:rsidP="00586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EF3" w:rsidRPr="00945862" w:rsidRDefault="00655FE2" w:rsidP="009458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3354BE" w:rsidRDefault="00FB6BE5" w:rsidP="00945862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 о порядке расчета размера платы за пользование жилым помещением</w:t>
      </w:r>
      <w:r w:rsidR="00C06B28">
        <w:rPr>
          <w:rFonts w:ascii="Times New Roman" w:hAnsi="Times New Roman" w:cs="Times New Roman"/>
          <w:sz w:val="28"/>
          <w:szCs w:val="28"/>
        </w:rPr>
        <w:t xml:space="preserve"> (платы за  </w:t>
      </w:r>
      <w:proofErr w:type="spellStart"/>
      <w:r w:rsidR="00C06B28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C06B28">
        <w:rPr>
          <w:rFonts w:ascii="Times New Roman" w:hAnsi="Times New Roman" w:cs="Times New Roman"/>
          <w:sz w:val="28"/>
          <w:szCs w:val="28"/>
        </w:rPr>
        <w:t>)</w:t>
      </w:r>
      <w:r w:rsidR="00F620FE">
        <w:rPr>
          <w:rFonts w:ascii="Times New Roman" w:hAnsi="Times New Roman" w:cs="Times New Roman"/>
          <w:sz w:val="28"/>
          <w:szCs w:val="28"/>
        </w:rPr>
        <w:t xml:space="preserve"> для нанимателей жилых помещений по договорам социального найма, согласно приложению №2.</w:t>
      </w:r>
    </w:p>
    <w:p w:rsidR="003354BE" w:rsidRDefault="00974E6F" w:rsidP="0097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7A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2CBC">
        <w:rPr>
          <w:rFonts w:ascii="Times New Roman" w:hAnsi="Times New Roman" w:cs="Times New Roman"/>
          <w:sz w:val="28"/>
          <w:szCs w:val="28"/>
        </w:rPr>
        <w:t>Колюдовской сельской администрации</w:t>
      </w:r>
      <w:r w:rsidR="003354BE">
        <w:rPr>
          <w:rFonts w:ascii="Times New Roman" w:hAnsi="Times New Roman" w:cs="Times New Roman"/>
          <w:sz w:val="28"/>
          <w:szCs w:val="28"/>
        </w:rPr>
        <w:t xml:space="preserve">  произвести расчет размера  платы за пользование жилыми помещениями (платы за </w:t>
      </w:r>
      <w:proofErr w:type="spellStart"/>
      <w:r w:rsidR="003354BE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3354BE">
        <w:rPr>
          <w:rFonts w:ascii="Times New Roman" w:hAnsi="Times New Roman" w:cs="Times New Roman"/>
          <w:sz w:val="28"/>
          <w:szCs w:val="28"/>
        </w:rPr>
        <w:t>) для нанимателей жилых помещений по договорам социального найма  муниципального жилищного</w:t>
      </w:r>
      <w:r w:rsidR="00B72CBC">
        <w:rPr>
          <w:rFonts w:ascii="Times New Roman" w:hAnsi="Times New Roman" w:cs="Times New Roman"/>
          <w:sz w:val="28"/>
          <w:szCs w:val="28"/>
        </w:rPr>
        <w:t xml:space="preserve"> фонда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354BE">
        <w:rPr>
          <w:rFonts w:ascii="Times New Roman" w:hAnsi="Times New Roman" w:cs="Times New Roman"/>
          <w:sz w:val="28"/>
          <w:szCs w:val="28"/>
        </w:rPr>
        <w:t>поселения</w:t>
      </w:r>
      <w:r w:rsidR="00B72CBC">
        <w:rPr>
          <w:rFonts w:ascii="Times New Roman" w:hAnsi="Times New Roman" w:cs="Times New Roman"/>
          <w:sz w:val="28"/>
          <w:szCs w:val="28"/>
        </w:rPr>
        <w:t xml:space="preserve"> Красногорского района</w:t>
      </w:r>
      <w:r w:rsidR="003354BE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proofErr w:type="gramStart"/>
      <w:r w:rsidR="00540482">
        <w:rPr>
          <w:rFonts w:ascii="Times New Roman" w:hAnsi="Times New Roman" w:cs="Times New Roman"/>
          <w:sz w:val="28"/>
          <w:szCs w:val="28"/>
        </w:rPr>
        <w:t>(</w:t>
      </w:r>
      <w:r w:rsidR="00335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354BE">
        <w:rPr>
          <w:rFonts w:ascii="Times New Roman" w:hAnsi="Times New Roman" w:cs="Times New Roman"/>
          <w:sz w:val="28"/>
          <w:szCs w:val="28"/>
        </w:rPr>
        <w:t>базовую ставку</w:t>
      </w:r>
      <w:r w:rsidR="00B639BC">
        <w:rPr>
          <w:rFonts w:ascii="Times New Roman" w:hAnsi="Times New Roman" w:cs="Times New Roman"/>
          <w:sz w:val="28"/>
          <w:szCs w:val="28"/>
        </w:rPr>
        <w:t xml:space="preserve"> платы за наем жилого помещения</w:t>
      </w:r>
      <w:r w:rsidR="00540482">
        <w:rPr>
          <w:rFonts w:ascii="Times New Roman" w:hAnsi="Times New Roman" w:cs="Times New Roman"/>
          <w:sz w:val="28"/>
          <w:szCs w:val="28"/>
        </w:rPr>
        <w:t>)</w:t>
      </w:r>
      <w:r w:rsidR="00B639BC">
        <w:rPr>
          <w:rFonts w:ascii="Times New Roman" w:hAnsi="Times New Roman" w:cs="Times New Roman"/>
          <w:sz w:val="28"/>
          <w:szCs w:val="28"/>
        </w:rPr>
        <w:t>.</w:t>
      </w:r>
    </w:p>
    <w:p w:rsidR="005E0F70" w:rsidRDefault="00974E6F" w:rsidP="0097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7A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0F70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на </w:t>
      </w:r>
      <w:r w:rsidR="00B72CBC">
        <w:rPr>
          <w:rFonts w:ascii="Times New Roman" w:hAnsi="Times New Roman" w:cs="Times New Roman"/>
          <w:sz w:val="28"/>
          <w:szCs w:val="28"/>
        </w:rPr>
        <w:t xml:space="preserve">2018 </w:t>
      </w:r>
      <w:r w:rsidR="005E0F70">
        <w:rPr>
          <w:rFonts w:ascii="Times New Roman" w:hAnsi="Times New Roman" w:cs="Times New Roman"/>
          <w:sz w:val="28"/>
          <w:szCs w:val="28"/>
        </w:rPr>
        <w:t xml:space="preserve">год коэффициенты соответствия </w:t>
      </w:r>
      <w:proofErr w:type="gramStart"/>
      <w:r w:rsidR="005E0F70">
        <w:rPr>
          <w:rFonts w:ascii="Times New Roman" w:hAnsi="Times New Roman" w:cs="Times New Roman"/>
          <w:sz w:val="28"/>
          <w:szCs w:val="28"/>
        </w:rPr>
        <w:t>платы</w:t>
      </w:r>
      <w:proofErr w:type="gramEnd"/>
      <w:r w:rsidR="005E0F70">
        <w:rPr>
          <w:rFonts w:ascii="Times New Roman" w:hAnsi="Times New Roman" w:cs="Times New Roman"/>
          <w:sz w:val="28"/>
          <w:szCs w:val="28"/>
        </w:rPr>
        <w:t xml:space="preserve"> для нанимателей жилья исходя из социально-экономических условий по группам жилищного фонда для населения, прожив</w:t>
      </w:r>
      <w:r w:rsidR="00B72CBC">
        <w:rPr>
          <w:rFonts w:ascii="Times New Roman" w:hAnsi="Times New Roman" w:cs="Times New Roman"/>
          <w:sz w:val="28"/>
          <w:szCs w:val="28"/>
        </w:rPr>
        <w:t xml:space="preserve">ающего в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Колюдовском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5E0F70">
        <w:rPr>
          <w:rFonts w:ascii="Times New Roman" w:hAnsi="Times New Roman" w:cs="Times New Roman"/>
          <w:sz w:val="28"/>
          <w:szCs w:val="28"/>
        </w:rPr>
        <w:t xml:space="preserve"> поселении.</w:t>
      </w:r>
    </w:p>
    <w:p w:rsidR="005E0F70" w:rsidRDefault="00EF2B7D" w:rsidP="00EF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E0F70">
        <w:rPr>
          <w:rFonts w:ascii="Times New Roman" w:hAnsi="Times New Roman" w:cs="Times New Roman"/>
          <w:sz w:val="28"/>
          <w:szCs w:val="28"/>
        </w:rPr>
        <w:t xml:space="preserve">Коэффициент качества </w:t>
      </w:r>
      <w:r w:rsidR="001B6A88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5E0F70">
        <w:rPr>
          <w:rFonts w:ascii="Times New Roman" w:hAnsi="Times New Roman" w:cs="Times New Roman"/>
          <w:sz w:val="28"/>
          <w:szCs w:val="28"/>
        </w:rPr>
        <w:t>строительного материала жилого помещения в размере:</w:t>
      </w:r>
    </w:p>
    <w:p w:rsidR="005E0F70" w:rsidRDefault="00EF2B7D" w:rsidP="00EF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0F70">
        <w:rPr>
          <w:rFonts w:ascii="Times New Roman" w:hAnsi="Times New Roman" w:cs="Times New Roman"/>
          <w:sz w:val="28"/>
          <w:szCs w:val="28"/>
        </w:rPr>
        <w:t>1) 1.0 –</w:t>
      </w:r>
      <w:r w:rsidR="005E0F70" w:rsidRPr="005E0F70">
        <w:rPr>
          <w:rFonts w:ascii="Times New Roman" w:hAnsi="Times New Roman" w:cs="Times New Roman"/>
          <w:sz w:val="28"/>
          <w:szCs w:val="28"/>
        </w:rPr>
        <w:t xml:space="preserve"> </w:t>
      </w:r>
      <w:r w:rsidR="005E0F70">
        <w:rPr>
          <w:rFonts w:ascii="Times New Roman" w:hAnsi="Times New Roman" w:cs="Times New Roman"/>
          <w:sz w:val="28"/>
          <w:szCs w:val="28"/>
        </w:rPr>
        <w:t>Коэффициент соответствия для кирпичных домов;</w:t>
      </w:r>
    </w:p>
    <w:p w:rsidR="005E0F70" w:rsidRDefault="00EF2B7D" w:rsidP="00EF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0F70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0.8 - Коэффициент соответствия для деревянных</w:t>
      </w:r>
      <w:r w:rsidR="001B6A88">
        <w:rPr>
          <w:rFonts w:ascii="Times New Roman" w:hAnsi="Times New Roman" w:cs="Times New Roman"/>
          <w:sz w:val="28"/>
          <w:szCs w:val="28"/>
        </w:rPr>
        <w:t xml:space="preserve"> и смешанных </w:t>
      </w:r>
      <w:r>
        <w:rPr>
          <w:rFonts w:ascii="Times New Roman" w:hAnsi="Times New Roman" w:cs="Times New Roman"/>
          <w:sz w:val="28"/>
          <w:szCs w:val="28"/>
        </w:rPr>
        <w:t xml:space="preserve"> домов.</w:t>
      </w:r>
    </w:p>
    <w:p w:rsidR="00EF2B7D" w:rsidRDefault="00EF2B7D" w:rsidP="00EF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Коэффициент</w:t>
      </w:r>
      <w:r w:rsidRPr="00EF0D66">
        <w:rPr>
          <w:rFonts w:ascii="Times New Roman" w:hAnsi="Times New Roman" w:cs="Times New Roman"/>
          <w:sz w:val="28"/>
          <w:szCs w:val="28"/>
        </w:rPr>
        <w:t xml:space="preserve"> </w:t>
      </w:r>
      <w:r w:rsidR="001B6A88">
        <w:rPr>
          <w:rFonts w:ascii="Times New Roman" w:hAnsi="Times New Roman" w:cs="Times New Roman"/>
          <w:sz w:val="28"/>
          <w:szCs w:val="28"/>
        </w:rPr>
        <w:t xml:space="preserve">качества в зависимости от </w:t>
      </w:r>
      <w:r>
        <w:rPr>
          <w:rFonts w:ascii="Times New Roman" w:hAnsi="Times New Roman" w:cs="Times New Roman"/>
          <w:sz w:val="28"/>
          <w:szCs w:val="28"/>
        </w:rPr>
        <w:t>благоустройства жилого помещения в размере:</w:t>
      </w:r>
    </w:p>
    <w:p w:rsidR="00EF2B7D" w:rsidRPr="001B6A88" w:rsidRDefault="00EF2B7D" w:rsidP="00EF2B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 –</w:t>
      </w:r>
      <w:r w:rsidRPr="005E0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соответствия для </w:t>
      </w:r>
      <w:r w:rsidR="00A811BC" w:rsidRPr="001B6A88">
        <w:rPr>
          <w:rFonts w:ascii="Times New Roman" w:hAnsi="Times New Roman" w:cs="Times New Roman"/>
          <w:sz w:val="28"/>
          <w:szCs w:val="28"/>
        </w:rPr>
        <w:t>многоквартирных и жилых домов, имеющих</w:t>
      </w:r>
      <w:r w:rsidR="001B6A88">
        <w:rPr>
          <w:rFonts w:ascii="Times New Roman" w:hAnsi="Times New Roman" w:cs="Times New Roman"/>
          <w:sz w:val="28"/>
          <w:szCs w:val="28"/>
        </w:rPr>
        <w:t xml:space="preserve"> все виды благоустройств</w:t>
      </w:r>
      <w:r w:rsidRPr="001B6A88">
        <w:rPr>
          <w:rFonts w:ascii="Times New Roman" w:hAnsi="Times New Roman" w:cs="Times New Roman"/>
          <w:sz w:val="28"/>
          <w:szCs w:val="28"/>
        </w:rPr>
        <w:t>;</w:t>
      </w:r>
    </w:p>
    <w:p w:rsidR="00A811BC" w:rsidRPr="001B6A88" w:rsidRDefault="001B6A88" w:rsidP="00A81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</w:t>
      </w:r>
      <w:r w:rsidR="00EF2B7D">
        <w:rPr>
          <w:rFonts w:ascii="Times New Roman" w:hAnsi="Times New Roman" w:cs="Times New Roman"/>
          <w:sz w:val="28"/>
          <w:szCs w:val="28"/>
        </w:rPr>
        <w:t>0,9 –</w:t>
      </w:r>
      <w:r w:rsidR="00EF2B7D" w:rsidRPr="005E0F70">
        <w:rPr>
          <w:rFonts w:ascii="Times New Roman" w:hAnsi="Times New Roman" w:cs="Times New Roman"/>
          <w:sz w:val="28"/>
          <w:szCs w:val="28"/>
        </w:rPr>
        <w:t xml:space="preserve"> </w:t>
      </w:r>
      <w:r w:rsidR="00EF2B7D">
        <w:rPr>
          <w:rFonts w:ascii="Times New Roman" w:hAnsi="Times New Roman" w:cs="Times New Roman"/>
          <w:sz w:val="28"/>
          <w:szCs w:val="28"/>
        </w:rPr>
        <w:t xml:space="preserve">Коэффициент соответствия для </w:t>
      </w:r>
      <w:r w:rsidR="00A811BC">
        <w:rPr>
          <w:rFonts w:ascii="Times New Roman" w:hAnsi="Times New Roman" w:cs="Times New Roman"/>
          <w:sz w:val="28"/>
          <w:szCs w:val="28"/>
        </w:rPr>
        <w:t xml:space="preserve">  </w:t>
      </w:r>
      <w:r w:rsidR="00A811BC" w:rsidRPr="001B6A88">
        <w:rPr>
          <w:rFonts w:ascii="Times New Roman" w:hAnsi="Times New Roman" w:cs="Times New Roman"/>
          <w:sz w:val="28"/>
          <w:szCs w:val="28"/>
        </w:rPr>
        <w:t>многоквартирных и жилых домов, имеющих не все виды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2B7D" w:rsidRDefault="00785294" w:rsidP="00EF2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6A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0,65 –</w:t>
      </w:r>
      <w:r w:rsidRPr="005E0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соответствия для </w:t>
      </w:r>
      <w:r w:rsidR="00A811BC" w:rsidRPr="001B6A88">
        <w:rPr>
          <w:rFonts w:ascii="Times New Roman" w:hAnsi="Times New Roman" w:cs="Times New Roman"/>
          <w:sz w:val="28"/>
          <w:szCs w:val="28"/>
        </w:rPr>
        <w:t>многоквартирных и жилых домов  с</w:t>
      </w:r>
      <w:r w:rsidR="00A811BC">
        <w:rPr>
          <w:rFonts w:ascii="Times New Roman" w:hAnsi="Times New Roman" w:cs="Times New Roman"/>
          <w:sz w:val="28"/>
          <w:szCs w:val="28"/>
        </w:rPr>
        <w:t xml:space="preserve"> печным отоплением.</w:t>
      </w:r>
    </w:p>
    <w:p w:rsidR="00586EF3" w:rsidRPr="00EF0D66" w:rsidRDefault="00117AD6" w:rsidP="00974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974E6F">
        <w:rPr>
          <w:rFonts w:ascii="Times New Roman" w:hAnsi="Times New Roman" w:cs="Times New Roman"/>
          <w:sz w:val="28"/>
          <w:szCs w:val="28"/>
        </w:rPr>
        <w:t>.</w:t>
      </w:r>
      <w:r w:rsidR="00D7373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86EF3" w:rsidRPr="00EF0D66">
        <w:rPr>
          <w:rFonts w:ascii="Times New Roman" w:hAnsi="Times New Roman" w:cs="Times New Roman"/>
          <w:sz w:val="28"/>
          <w:szCs w:val="28"/>
        </w:rPr>
        <w:t xml:space="preserve"> вступает в силу с момента</w:t>
      </w:r>
      <w:r w:rsidR="00D73731">
        <w:rPr>
          <w:rFonts w:ascii="Times New Roman" w:hAnsi="Times New Roman" w:cs="Times New Roman"/>
          <w:sz w:val="28"/>
          <w:szCs w:val="28"/>
        </w:rPr>
        <w:t xml:space="preserve"> о</w:t>
      </w:r>
      <w:r w:rsidR="00586EF3" w:rsidRPr="00EF0D66">
        <w:rPr>
          <w:rFonts w:ascii="Times New Roman" w:hAnsi="Times New Roman" w:cs="Times New Roman"/>
          <w:sz w:val="28"/>
          <w:szCs w:val="28"/>
        </w:rPr>
        <w:t>публикова</w:t>
      </w:r>
      <w:r w:rsidR="00D73731">
        <w:rPr>
          <w:rFonts w:ascii="Times New Roman" w:hAnsi="Times New Roman" w:cs="Times New Roman"/>
          <w:sz w:val="28"/>
          <w:szCs w:val="28"/>
        </w:rPr>
        <w:t>ния</w:t>
      </w:r>
      <w:r w:rsidR="00586EF3" w:rsidRPr="00EF0D66">
        <w:rPr>
          <w:rFonts w:ascii="Times New Roman" w:hAnsi="Times New Roman" w:cs="Times New Roman"/>
          <w:sz w:val="28"/>
          <w:szCs w:val="28"/>
        </w:rPr>
        <w:t xml:space="preserve"> </w:t>
      </w:r>
      <w:r w:rsidR="00D73731">
        <w:rPr>
          <w:rFonts w:ascii="Times New Roman" w:hAnsi="Times New Roman" w:cs="Times New Roman"/>
          <w:sz w:val="28"/>
          <w:szCs w:val="28"/>
        </w:rPr>
        <w:t xml:space="preserve"> в районной газете и</w:t>
      </w:r>
      <w:r w:rsidR="009979BC">
        <w:rPr>
          <w:rFonts w:ascii="Times New Roman" w:hAnsi="Times New Roman" w:cs="Times New Roman"/>
          <w:sz w:val="28"/>
          <w:szCs w:val="28"/>
        </w:rPr>
        <w:t>ли</w:t>
      </w:r>
      <w:r w:rsidR="00D73731">
        <w:rPr>
          <w:rFonts w:ascii="Times New Roman" w:hAnsi="Times New Roman" w:cs="Times New Roman"/>
          <w:sz w:val="28"/>
          <w:szCs w:val="28"/>
        </w:rPr>
        <w:t xml:space="preserve"> </w:t>
      </w:r>
      <w:r w:rsidR="00586EF3" w:rsidRPr="00EF0D66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Красногорского района  в сети Интернет.</w:t>
      </w:r>
    </w:p>
    <w:p w:rsidR="00586EF3" w:rsidRPr="00EF0D66" w:rsidRDefault="00117AD6" w:rsidP="00586EF3">
      <w:pPr>
        <w:tabs>
          <w:tab w:val="num" w:pos="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373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737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3731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586EF3" w:rsidRPr="00EF0D66" w:rsidRDefault="00586EF3" w:rsidP="00586EF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86EF3" w:rsidRPr="00337386" w:rsidRDefault="0086454E" w:rsidP="00586EF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72C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CB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C1794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86EF3" w:rsidRPr="00337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D35C5" w:rsidRPr="00EF0D66" w:rsidRDefault="00C1794A" w:rsidP="0033738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D66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EF0D6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72CB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А.М.Пенчуков</w:t>
      </w:r>
      <w:proofErr w:type="spellEnd"/>
    </w:p>
    <w:p w:rsidR="00945862" w:rsidRDefault="00945862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9D35C5" w:rsidRDefault="009D35C5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9D35C5" w:rsidRDefault="009D35C5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EF0D66" w:rsidRDefault="00EF0D66" w:rsidP="0033738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117AD6" w:rsidRDefault="00117AD6" w:rsidP="00117AD6">
      <w:pPr>
        <w:jc w:val="center"/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pacing w:val="1"/>
          <w:sz w:val="28"/>
          <w:szCs w:val="28"/>
        </w:rPr>
        <w:t>Приложение № 1</w:t>
      </w:r>
      <w:r w:rsidRPr="0011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AD6" w:rsidRP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к ре</w:t>
      </w:r>
      <w:r w:rsidR="00B72CBC">
        <w:rPr>
          <w:rFonts w:ascii="Times New Roman" w:hAnsi="Times New Roman" w:cs="Times New Roman"/>
          <w:sz w:val="28"/>
          <w:szCs w:val="28"/>
        </w:rPr>
        <w:t xml:space="preserve">шению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CB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17AD6" w:rsidRP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72CBC">
        <w:rPr>
          <w:rFonts w:ascii="Times New Roman" w:hAnsi="Times New Roman" w:cs="Times New Roman"/>
          <w:sz w:val="28"/>
          <w:szCs w:val="28"/>
        </w:rPr>
        <w:t xml:space="preserve">                    от 02.10.2018</w:t>
      </w:r>
      <w:r w:rsidRPr="00117AD6">
        <w:rPr>
          <w:rFonts w:ascii="Times New Roman" w:hAnsi="Times New Roman" w:cs="Times New Roman"/>
          <w:sz w:val="28"/>
          <w:szCs w:val="28"/>
        </w:rPr>
        <w:t xml:space="preserve"> №</w:t>
      </w:r>
      <w:r w:rsidR="00B72CBC">
        <w:rPr>
          <w:rFonts w:ascii="Times New Roman" w:hAnsi="Times New Roman" w:cs="Times New Roman"/>
          <w:sz w:val="28"/>
          <w:szCs w:val="28"/>
        </w:rPr>
        <w:t xml:space="preserve"> 3-171</w:t>
      </w:r>
      <w:r w:rsidRPr="0011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AD6" w:rsidRPr="00117AD6" w:rsidRDefault="00117AD6" w:rsidP="00117AD6">
      <w:pPr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О ПОРЯДКЕ РАСЧЕТА РАЗМЕРА ПЛАТЫ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ЗА ПОЛЬЗОВАНИЕ ЖИЛЫМ ПОМЕЩЕНИЕМ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(ПЛАТЫ ЗА НАЕМ) ДЛЯ НАНИМАТЕЛЕЙ ЖИЛЫХ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ПОМЕЩЕНИЙ ПО ДОГОВОРАМ СОЦИАЛЬНОГО НАЙМА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AD6" w:rsidRPr="00117AD6" w:rsidRDefault="00117AD6" w:rsidP="00117AD6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Настоящее Положение о порядке расчета разработано с целью создания базы по расчету размера платы за пользование жилым помещением (платы за наем) для нанимателей жилых помещений по договорам социального найма жилых помещений муниципального жилищного фонда на терр</w:t>
      </w:r>
      <w:r w:rsidR="00B72CBC">
        <w:rPr>
          <w:rFonts w:ascii="Times New Roman" w:hAnsi="Times New Roman" w:cs="Times New Roman"/>
          <w:sz w:val="28"/>
          <w:szCs w:val="28"/>
        </w:rPr>
        <w:t xml:space="preserve">итории </w:t>
      </w:r>
      <w:proofErr w:type="spellStart"/>
      <w:r w:rsidR="00B72CBC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B72CB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17A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72CBC">
        <w:rPr>
          <w:rFonts w:ascii="Times New Roman" w:hAnsi="Times New Roman" w:cs="Times New Roman"/>
          <w:sz w:val="28"/>
          <w:szCs w:val="28"/>
        </w:rPr>
        <w:t xml:space="preserve"> Красногорского района</w:t>
      </w:r>
      <w:r w:rsidRPr="00117AD6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117AD6" w:rsidRPr="00117AD6" w:rsidRDefault="00117AD6" w:rsidP="00117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 определяются на основе базовой ставки платы за пользование жилым помещением (платы за наем).</w:t>
      </w:r>
    </w:p>
    <w:p w:rsidR="00117AD6" w:rsidRPr="00117AD6" w:rsidRDefault="00117AD6" w:rsidP="00117A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Порядок расчета базовой ставки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Определение базовой ставки за пользование жилым помещением (платы за наем) </w:t>
      </w:r>
      <w:smartTag w:uri="urn:schemas-microsoft-com:office:smarttags" w:element="metricconverter">
        <w:smartTagPr>
          <w:attr w:name="ProductID" w:val="1 м2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м</w:t>
        </w:r>
        <w:proofErr w:type="gramStart"/>
        <w:r w:rsidRPr="00117AD6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жилого помещения производится исходя из определения отчислений на полное восстановление муниципального жилищного фонда, а также  размера средней стоимости инвестиционных затрат собственника на ремонт жилищного фонда с учетом социально-экономической ситуации в муниципальном образовании. При расчете базовой ставки за пользование жилым помещением </w:t>
      </w:r>
      <w:r w:rsidRPr="00117AD6">
        <w:rPr>
          <w:rFonts w:ascii="Times New Roman" w:hAnsi="Times New Roman" w:cs="Times New Roman"/>
          <w:sz w:val="28"/>
          <w:szCs w:val="28"/>
        </w:rPr>
        <w:tab/>
        <w:t xml:space="preserve">(платы за наем) используется классификация основных средств, утвержденная Постановлением Правительства Российской Федерации от 01.01.2002 №1 «О классификации основных средств, включаемых амортизационные группы». </w:t>
      </w:r>
    </w:p>
    <w:p w:rsidR="00117AD6" w:rsidRPr="00117AD6" w:rsidRDefault="00117AD6" w:rsidP="00117AD6">
      <w:pPr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Базовая ставка размера платы за пользование жилым помещением (платы за наем) исходя из размера отчислений на полное восстановление </w:t>
      </w:r>
      <w:smartTag w:uri="urn:schemas-microsoft-com:office:smarttags" w:element="metricconverter">
        <w:smartTagPr>
          <w:attr w:name="ProductID" w:val="1 м2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м</w:t>
        </w:r>
        <w:proofErr w:type="gramStart"/>
        <w:r w:rsidRPr="00117AD6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площади жилого помещения в месяц по жилищному фонду, сгруппированному в 2 группы по капитальности  зданий: жилищный фонд в капитальном исполнении, и жилищный фонд в деревянном и смешанном исполнении: определяется по формуле: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6392" w:type="dxa"/>
        <w:tblLook w:val="04A0" w:firstRow="1" w:lastRow="0" w:firstColumn="1" w:lastColumn="0" w:noHBand="0" w:noVBand="1"/>
      </w:tblPr>
      <w:tblGrid>
        <w:gridCol w:w="2360"/>
        <w:gridCol w:w="4032"/>
      </w:tblGrid>
      <w:tr w:rsidR="00117AD6" w:rsidRPr="00117AD6">
        <w:trPr>
          <w:trHeight w:val="361"/>
        </w:trPr>
        <w:tc>
          <w:tcPr>
            <w:tcW w:w="2360" w:type="dxa"/>
            <w:vMerge w:val="restart"/>
            <w:noWrap/>
            <w:vAlign w:val="center"/>
          </w:tcPr>
          <w:p w:rsidR="00117AD6" w:rsidRPr="00117AD6" w:rsidRDefault="00117AD6" w:rsidP="00117A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 w:rsidRPr="00117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 =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17AD6" w:rsidRPr="00117AD6" w:rsidRDefault="00117AD6" w:rsidP="00117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(A1 x S1)+(A2 x S2)</w:t>
            </w:r>
          </w:p>
        </w:tc>
      </w:tr>
      <w:tr w:rsidR="00117AD6" w:rsidRPr="00117AD6">
        <w:trPr>
          <w:trHeight w:val="361"/>
        </w:trPr>
        <w:tc>
          <w:tcPr>
            <w:tcW w:w="0" w:type="auto"/>
            <w:vMerge/>
            <w:vAlign w:val="center"/>
          </w:tcPr>
          <w:p w:rsidR="00117AD6" w:rsidRPr="00117AD6" w:rsidRDefault="00117AD6" w:rsidP="00117A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2" w:type="dxa"/>
            <w:noWrap/>
            <w:vAlign w:val="center"/>
          </w:tcPr>
          <w:p w:rsidR="00117AD6" w:rsidRPr="00117AD6" w:rsidRDefault="00117AD6" w:rsidP="00117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S1 + S2</w:t>
            </w:r>
          </w:p>
        </w:tc>
      </w:tr>
    </w:tbl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, где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17AD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1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AD6">
        <w:rPr>
          <w:rFonts w:ascii="Times New Roman" w:hAnsi="Times New Roman" w:cs="Times New Roman"/>
          <w:sz w:val="28"/>
          <w:szCs w:val="28"/>
        </w:rPr>
        <w:t xml:space="preserve">- Базовая ставка размера платы за пользование жилым помещением (платы за наем) исходя из размера отчислений на полное восстановление </w:t>
      </w:r>
      <w:smartTag w:uri="urn:schemas-microsoft-com:office:smarttags" w:element="metricconverter">
        <w:smartTagPr>
          <w:attr w:name="ProductID" w:val="1 м2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м2</w:t>
        </w:r>
      </w:smartTag>
      <w:r w:rsidRPr="00117AD6">
        <w:rPr>
          <w:rFonts w:ascii="Times New Roman" w:hAnsi="Times New Roman" w:cs="Times New Roman"/>
          <w:sz w:val="28"/>
          <w:szCs w:val="28"/>
        </w:rPr>
        <w:t xml:space="preserve"> площади жилого помещения в месяц по жилищному фонду, сгруппированному в 2 группы по капитальности  зданий: жилищный фонд в капитальном исполнении, и жилищный фонд в деревянном и смешанном исполнении:. 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bCs/>
          <w:sz w:val="28"/>
          <w:szCs w:val="28"/>
        </w:rPr>
        <w:t>A1</w:t>
      </w:r>
      <w:r w:rsidRPr="00117AD6">
        <w:rPr>
          <w:rFonts w:ascii="Times New Roman" w:hAnsi="Times New Roman" w:cs="Times New Roman"/>
          <w:sz w:val="28"/>
          <w:szCs w:val="28"/>
        </w:rPr>
        <w:t xml:space="preserve">  - средние размеры ежемесячных отчислений на полное восстановление жилых зданий в деревянном и смешанном исполнении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 - средние размеры ежемесячных отчислений на полное восстановление жилых зданий в капитальном исполнении;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bCs/>
          <w:sz w:val="28"/>
          <w:szCs w:val="28"/>
        </w:rPr>
        <w:t>S1</w:t>
      </w:r>
      <w:r w:rsidRPr="00117AD6">
        <w:rPr>
          <w:rFonts w:ascii="Times New Roman" w:hAnsi="Times New Roman" w:cs="Times New Roman"/>
          <w:sz w:val="28"/>
          <w:szCs w:val="28"/>
        </w:rPr>
        <w:t xml:space="preserve">, </w:t>
      </w:r>
      <w:r w:rsidRPr="00117AD6">
        <w:rPr>
          <w:rFonts w:ascii="Times New Roman" w:hAnsi="Times New Roman" w:cs="Times New Roman"/>
          <w:b/>
          <w:bCs/>
          <w:sz w:val="28"/>
          <w:szCs w:val="28"/>
        </w:rPr>
        <w:t>S2</w:t>
      </w:r>
      <w:r w:rsidRPr="00117AD6">
        <w:rPr>
          <w:rFonts w:ascii="Times New Roman" w:hAnsi="Times New Roman" w:cs="Times New Roman"/>
          <w:sz w:val="28"/>
          <w:szCs w:val="28"/>
        </w:rPr>
        <w:t xml:space="preserve"> - общая площадь жилых зданий каждой группы капитальности.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Средние размеры ежемесячных отчислений на полное восстановление жилых зданий по каждой группе капитальности определяется по формуле: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   </w:t>
      </w:r>
      <w:r w:rsidRPr="00117AD6">
        <w:rPr>
          <w:rFonts w:ascii="Times New Roman" w:hAnsi="Times New Roman" w:cs="Times New Roman"/>
          <w:sz w:val="28"/>
          <w:szCs w:val="28"/>
        </w:rPr>
        <w:tab/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7AD6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117AD6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х </w:t>
      </w:r>
      <w:proofErr w:type="spellStart"/>
      <w:r w:rsidRPr="00117AD6">
        <w:rPr>
          <w:rFonts w:ascii="Times New Roman" w:hAnsi="Times New Roman" w:cs="Times New Roman"/>
          <w:b/>
          <w:sz w:val="28"/>
          <w:szCs w:val="28"/>
        </w:rPr>
        <w:t>Bi</w:t>
      </w:r>
      <w:proofErr w:type="spellEnd"/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=  ------------,</w:t>
      </w:r>
      <w:r w:rsidRPr="00117AD6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12 х 100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- средний размер ежемесячных отчислений на полное восстановление жилищного фонда по отдельным группам капитальности жилых зданий в расчете на </w:t>
      </w:r>
      <w:smartTag w:uri="urn:schemas-microsoft-com:office:smarttags" w:element="metricconverter">
        <w:smartTagPr>
          <w:attr w:name="ProductID" w:val="1 кв. м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117AD6">
        <w:rPr>
          <w:rFonts w:ascii="Times New Roman" w:hAnsi="Times New Roman" w:cs="Times New Roman"/>
          <w:sz w:val="28"/>
          <w:szCs w:val="28"/>
        </w:rPr>
        <w:t xml:space="preserve"> общей площади (в рублях);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gram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- балансовая восстановительная стоимость </w:t>
      </w:r>
      <w:smartTag w:uri="urn:schemas-microsoft-com:office:smarttags" w:element="metricconverter">
        <w:smartTagPr>
          <w:attr w:name="ProductID" w:val="1 кв. м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кв. м</w:t>
        </w:r>
      </w:smartTag>
      <w:r w:rsidRPr="00117AD6">
        <w:rPr>
          <w:rFonts w:ascii="Times New Roman" w:hAnsi="Times New Roman" w:cs="Times New Roman"/>
          <w:sz w:val="28"/>
          <w:szCs w:val="28"/>
        </w:rPr>
        <w:t xml:space="preserve"> общей площади в каждой группе жилых зданий по капитальности в действующих ценах (в рублях);</w:t>
      </w: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7AD6">
        <w:rPr>
          <w:rFonts w:ascii="Times New Roman" w:hAnsi="Times New Roman" w:cs="Times New Roman"/>
          <w:b/>
          <w:bCs/>
          <w:sz w:val="28"/>
          <w:szCs w:val="28"/>
        </w:rPr>
        <w:t>Bi</w:t>
      </w:r>
      <w:proofErr w:type="spellEnd"/>
      <w:r w:rsidRPr="00117AD6">
        <w:rPr>
          <w:rFonts w:ascii="Times New Roman" w:hAnsi="Times New Roman" w:cs="Times New Roman"/>
          <w:sz w:val="28"/>
          <w:szCs w:val="28"/>
        </w:rPr>
        <w:t xml:space="preserve"> - норматив отчислений на полное восстановление по каждой группе капитальности (в %), численно равный соответствующей норме амортизационных отчислений</w:t>
      </w:r>
      <w:proofErr w:type="gramEnd"/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numPr>
          <w:ilvl w:val="0"/>
          <w:numId w:val="3"/>
        </w:numPr>
        <w:spacing w:after="0" w:line="240" w:lineRule="auto"/>
        <w:ind w:lef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Порядок расчета размера платы за пользование жилым помещением (платы за наем) для нанимателей жилых помещений по договорам социального найма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Плата за пользование жилым помещением (плата за наем) для нанимателей жилых помещений по договорам социального найма за </w:t>
      </w:r>
      <w:smartTag w:uri="urn:schemas-microsoft-com:office:smarttags" w:element="metricconverter">
        <w:smartTagPr>
          <w:attr w:name="ProductID" w:val="1 м2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м</w:t>
        </w:r>
        <w:proofErr w:type="gramStart"/>
        <w:r w:rsidRPr="00117AD6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в месяц в зависимости от потребительских свойств жилого помещения определяется по формуле: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 xml:space="preserve">Н = </w:t>
      </w:r>
      <w:proofErr w:type="spellStart"/>
      <w:r w:rsidRPr="00117AD6">
        <w:rPr>
          <w:rFonts w:ascii="Times New Roman" w:hAnsi="Times New Roman" w:cs="Times New Roman"/>
          <w:b/>
          <w:sz w:val="28"/>
          <w:szCs w:val="28"/>
        </w:rPr>
        <w:t>Нб</w:t>
      </w:r>
      <w:proofErr w:type="spell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х К</w:t>
      </w:r>
      <w:proofErr w:type="spellStart"/>
      <w:proofErr w:type="gramStart"/>
      <w:r w:rsidRPr="0011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AD6">
        <w:rPr>
          <w:rFonts w:ascii="Times New Roman" w:hAnsi="Times New Roman" w:cs="Times New Roman"/>
          <w:sz w:val="28"/>
          <w:szCs w:val="28"/>
        </w:rPr>
        <w:t>, где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117AD6">
        <w:rPr>
          <w:rFonts w:ascii="Times New Roman" w:hAnsi="Times New Roman" w:cs="Times New Roman"/>
          <w:sz w:val="28"/>
          <w:szCs w:val="28"/>
        </w:rPr>
        <w:t xml:space="preserve"> - размер платы   за пользование жилым помещением (плата за наем) для нанимателей жилых помещений по договорам социального найма за </w:t>
      </w:r>
      <w:smartTag w:uri="urn:schemas-microsoft-com:office:smarttags" w:element="metricconverter">
        <w:smartTagPr>
          <w:attr w:name="ProductID" w:val="1 м2"/>
        </w:smartTagPr>
        <w:r w:rsidRPr="00117AD6">
          <w:rPr>
            <w:rFonts w:ascii="Times New Roman" w:hAnsi="Times New Roman" w:cs="Times New Roman"/>
            <w:sz w:val="28"/>
            <w:szCs w:val="28"/>
          </w:rPr>
          <w:t>1 м</w:t>
        </w:r>
        <w:proofErr w:type="gramStart"/>
        <w:r w:rsidRPr="00117AD6">
          <w:rPr>
            <w:rFonts w:ascii="Times New Roman" w:hAnsi="Times New Roman" w:cs="Times New Roman"/>
            <w:sz w:val="28"/>
            <w:szCs w:val="28"/>
          </w:rPr>
          <w:t>2</w:t>
        </w:r>
      </w:smartTag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в месяц;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К</w:t>
      </w:r>
      <w:proofErr w:type="spellStart"/>
      <w:proofErr w:type="gramStart"/>
      <w:r w:rsidRPr="0011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proofErr w:type="gramEnd"/>
      <w:r w:rsidRPr="00117AD6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капитальность жилищного фонда.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7AD6" w:rsidRPr="00117AD6" w:rsidRDefault="00117AD6" w:rsidP="00117AD6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Наниматели жилых помещений по договорам социального найма муниципального жилищного фонда вносят плату за пользование жилым помещением (плату за наем) </w:t>
      </w:r>
      <w:proofErr w:type="spellStart"/>
      <w:r w:rsidRPr="00117AD6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117AD6">
        <w:rPr>
          <w:rFonts w:ascii="Times New Roman" w:hAnsi="Times New Roman" w:cs="Times New Roman"/>
          <w:sz w:val="28"/>
          <w:szCs w:val="28"/>
        </w:rPr>
        <w:t xml:space="preserve"> этого жилого помещения.</w:t>
      </w:r>
    </w:p>
    <w:p w:rsidR="00117AD6" w:rsidRPr="00117AD6" w:rsidRDefault="00117AD6" w:rsidP="001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Плата за наем не взимается в домах признанных в установленном порядке аварийными и непригодными для проживания, а также предоставленных в наем гражданам, признанным в установленном порядке малоимущими.</w:t>
      </w:r>
    </w:p>
    <w:p w:rsidR="00117AD6" w:rsidRPr="00117AD6" w:rsidRDefault="00117AD6" w:rsidP="001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117AD6">
        <w:rPr>
          <w:rFonts w:ascii="Times New Roman" w:hAnsi="Times New Roman" w:cs="Times New Roman"/>
          <w:spacing w:val="1"/>
          <w:sz w:val="28"/>
          <w:szCs w:val="28"/>
        </w:rPr>
        <w:t>Приложение №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</w:p>
    <w:p w:rsidR="00117AD6" w:rsidRP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 к ре</w:t>
      </w:r>
      <w:r w:rsidR="00C66513">
        <w:rPr>
          <w:rFonts w:ascii="Times New Roman" w:hAnsi="Times New Roman" w:cs="Times New Roman"/>
          <w:sz w:val="28"/>
          <w:szCs w:val="28"/>
        </w:rPr>
        <w:t xml:space="preserve">шению </w:t>
      </w:r>
      <w:proofErr w:type="spellStart"/>
      <w:r w:rsidR="00C66513"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 w:rsidR="00C66513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117AD6" w:rsidRPr="00117AD6" w:rsidRDefault="00117AD6" w:rsidP="00117AD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72CBC">
        <w:rPr>
          <w:rFonts w:ascii="Times New Roman" w:hAnsi="Times New Roman" w:cs="Times New Roman"/>
          <w:sz w:val="28"/>
          <w:szCs w:val="28"/>
        </w:rPr>
        <w:t xml:space="preserve">                   от 02.10.2018</w:t>
      </w:r>
      <w:r w:rsidRPr="00117AD6">
        <w:rPr>
          <w:rFonts w:ascii="Times New Roman" w:hAnsi="Times New Roman" w:cs="Times New Roman"/>
          <w:sz w:val="28"/>
          <w:szCs w:val="28"/>
        </w:rPr>
        <w:t xml:space="preserve"> № </w:t>
      </w:r>
      <w:r w:rsidR="00B72CBC">
        <w:rPr>
          <w:rFonts w:ascii="Times New Roman" w:hAnsi="Times New Roman" w:cs="Times New Roman"/>
          <w:sz w:val="28"/>
          <w:szCs w:val="28"/>
        </w:rPr>
        <w:t>3-171</w:t>
      </w:r>
    </w:p>
    <w:p w:rsidR="00117AD6" w:rsidRPr="00117AD6" w:rsidRDefault="00117AD6" w:rsidP="00117AD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Размер коэффициентов, учитывающих капитальность жилищного фонда</w:t>
      </w:r>
    </w:p>
    <w:p w:rsidR="00117AD6" w:rsidRPr="00117AD6" w:rsidRDefault="00117AD6" w:rsidP="0011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AD6" w:rsidRPr="00117AD6" w:rsidRDefault="00117AD6" w:rsidP="00117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117AD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= 0,8 </w:t>
      </w:r>
      <w:r w:rsidRPr="00117AD6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капитальность жилищного фонда в деревянном и смешанном исполнении;</w:t>
      </w:r>
    </w:p>
    <w:p w:rsidR="00117AD6" w:rsidRPr="00117AD6" w:rsidRDefault="00117AD6" w:rsidP="00117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117AD6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117AD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117AD6">
        <w:rPr>
          <w:rFonts w:ascii="Times New Roman" w:hAnsi="Times New Roman" w:cs="Times New Roman"/>
          <w:b/>
          <w:sz w:val="28"/>
          <w:szCs w:val="28"/>
        </w:rPr>
        <w:t xml:space="preserve"> = 1,0 </w:t>
      </w:r>
      <w:r w:rsidRPr="00117AD6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капитальность жилищного фонда в капитальном     исполнении.</w:t>
      </w:r>
    </w:p>
    <w:p w:rsidR="00117AD6" w:rsidRPr="00117AD6" w:rsidRDefault="00117AD6" w:rsidP="00117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E89" w:rsidRDefault="00135E89" w:rsidP="001B519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03D" w:rsidRPr="00707668" w:rsidRDefault="0058503D" w:rsidP="0058503D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>КОЭФФИЦИЕНТЫ (К</w:t>
      </w:r>
      <w:proofErr w:type="gramStart"/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proofErr w:type="gramEnd"/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>)</w:t>
      </w:r>
    </w:p>
    <w:p w:rsidR="0058503D" w:rsidRPr="00707668" w:rsidRDefault="0058503D" w:rsidP="0058503D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БЛАГОУСТРОЕННОСТИ </w:t>
      </w:r>
      <w:proofErr w:type="gramStart"/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>ЖИЛЫХ</w:t>
      </w:r>
      <w:proofErr w:type="gramEnd"/>
    </w:p>
    <w:p w:rsidR="0058503D" w:rsidRPr="00707668" w:rsidRDefault="0058503D" w:rsidP="00707668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707668">
        <w:rPr>
          <w:rFonts w:ascii="Times New Roman" w:hAnsi="Times New Roman"/>
          <w:b/>
          <w:color w:val="000000"/>
          <w:sz w:val="24"/>
          <w:szCs w:val="24"/>
          <w:lang w:eastAsia="en-US"/>
        </w:rPr>
        <w:t>ПОМЕЩЕНИЙ И МАТЕРИАЛОВ СТЕН</w:t>
      </w:r>
    </w:p>
    <w:tbl>
      <w:tblPr>
        <w:tblW w:w="93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2"/>
        <w:gridCol w:w="1526"/>
        <w:gridCol w:w="1701"/>
      </w:tblGrid>
      <w:tr w:rsidR="00707668" w:rsidRPr="00707668">
        <w:trPr>
          <w:cantSplit/>
          <w:trHeight w:val="618"/>
        </w:trPr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Степень благоустройства  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 кирпичными стенами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Со стенами </w:t>
            </w: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br/>
              <w:t xml:space="preserve">смешанными </w:t>
            </w: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br/>
              <w:t xml:space="preserve">и     </w:t>
            </w: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br/>
              <w:t>деревянными</w:t>
            </w:r>
          </w:p>
        </w:tc>
      </w:tr>
      <w:tr w:rsidR="00707668" w:rsidRPr="00707668">
        <w:trPr>
          <w:cantSplit/>
          <w:trHeight w:val="741"/>
        </w:trPr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07668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1. Многоквартирные и жилые дома,     имеющие все виды благоустройства      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668" w:rsidRPr="00707668">
        <w:trPr>
          <w:cantSplit/>
          <w:trHeight w:val="371"/>
        </w:trPr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Коэффициенты, применяемые при расчете размера платы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707668"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>1 кв. метр</w:t>
              </w:r>
            </w:smartTag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общей площади жилого помещения         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1,0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0,9    </w:t>
            </w:r>
          </w:p>
        </w:tc>
      </w:tr>
      <w:tr w:rsidR="00707668" w:rsidRPr="00707668">
        <w:trPr>
          <w:cantSplit/>
          <w:trHeight w:val="248"/>
        </w:trPr>
        <w:tc>
          <w:tcPr>
            <w:tcW w:w="6102" w:type="dxa"/>
            <w:tcBorders>
              <w:left w:val="single" w:sz="4" w:space="0" w:color="000000"/>
              <w:bottom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То же для коммунальных квартир   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0,9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0,8    </w:t>
            </w:r>
          </w:p>
        </w:tc>
      </w:tr>
      <w:tr w:rsidR="00707668" w:rsidRPr="00707668">
        <w:trPr>
          <w:cantSplit/>
          <w:trHeight w:val="37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2. Многоквартирные и жилые дома,     имеющие не все виды благоустройства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668" w:rsidRPr="00707668">
        <w:trPr>
          <w:cantSplit/>
          <w:trHeight w:val="37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Коэффициенты, применяемые при расчете размера платы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707668">
                <w:rPr>
                  <w:rFonts w:ascii="Times New Roman" w:hAnsi="Times New Roman"/>
                  <w:color w:val="000000"/>
                  <w:sz w:val="24"/>
                  <w:szCs w:val="24"/>
                  <w:lang w:eastAsia="ar-SA"/>
                </w:rPr>
                <w:t>1 кв. метр</w:t>
              </w:r>
            </w:smartTag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общей площади жилого помещения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0,8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0,6   </w:t>
            </w:r>
          </w:p>
        </w:tc>
      </w:tr>
      <w:tr w:rsidR="00707668" w:rsidRPr="00707668">
        <w:trPr>
          <w:cantSplit/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То же для коммунальных квартир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0,5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8" w:rsidRPr="00707668" w:rsidRDefault="00707668" w:rsidP="004560A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7668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0,25    </w:t>
            </w:r>
          </w:p>
        </w:tc>
      </w:tr>
    </w:tbl>
    <w:p w:rsidR="0058503D" w:rsidRPr="00EF0908" w:rsidRDefault="0058503D" w:rsidP="0058503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8503D" w:rsidRPr="00A94103" w:rsidRDefault="0058503D" w:rsidP="0058503D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07668" w:rsidRPr="00FF6B85" w:rsidRDefault="00707668" w:rsidP="00FF6B85">
      <w:pPr>
        <w:pStyle w:val="a3"/>
        <w:spacing w:line="301" w:lineRule="atLeast"/>
        <w:jc w:val="center"/>
        <w:rPr>
          <w:sz w:val="22"/>
          <w:szCs w:val="22"/>
        </w:rPr>
      </w:pPr>
      <w:r>
        <w:rPr>
          <w:rFonts w:ascii="Exo 2" w:hAnsi="Exo 2"/>
          <w:sz w:val="22"/>
          <w:szCs w:val="22"/>
        </w:rPr>
        <w:t>КОЭФФИЦИЕНТЫ (К</w:t>
      </w:r>
      <w:proofErr w:type="gramStart"/>
      <w:r>
        <w:rPr>
          <w:rFonts w:ascii="Exo 2" w:hAnsi="Exo 2"/>
          <w:sz w:val="22"/>
          <w:szCs w:val="22"/>
        </w:rPr>
        <w:t>2</w:t>
      </w:r>
      <w:proofErr w:type="gramEnd"/>
      <w:r>
        <w:rPr>
          <w:rFonts w:ascii="Exo 2" w:hAnsi="Exo 2"/>
          <w:sz w:val="22"/>
          <w:szCs w:val="22"/>
        </w:rPr>
        <w:t>)</w:t>
      </w:r>
      <w:r>
        <w:rPr>
          <w:rFonts w:ascii="Exo 2" w:hAnsi="Exo 2"/>
          <w:sz w:val="22"/>
          <w:szCs w:val="22"/>
        </w:rPr>
        <w:br/>
        <w:t xml:space="preserve">ЗОН МЕСТОРАСПОЛОЖЕНИЯ ЖИЛОГО ПОМЕЩЕНИЯ </w:t>
      </w:r>
    </w:p>
    <w:tbl>
      <w:tblPr>
        <w:tblW w:w="95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3780"/>
      </w:tblGrid>
      <w:tr w:rsidR="00707668">
        <w:trPr>
          <w:trHeight w:val="360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7668" w:rsidRDefault="00707668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Зона месторасположения жилого помещения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668" w:rsidRDefault="00707668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Коэффициенты зон (К</w:t>
            </w:r>
            <w:proofErr w:type="gramStart"/>
            <w:r>
              <w:rPr>
                <w:rFonts w:ascii="Exo 2" w:hAnsi="Exo 2"/>
                <w:sz w:val="22"/>
                <w:szCs w:val="22"/>
              </w:rPr>
              <w:t>2</w:t>
            </w:r>
            <w:proofErr w:type="gramEnd"/>
            <w:r>
              <w:rPr>
                <w:rFonts w:ascii="Exo 2" w:hAnsi="Exo 2"/>
                <w:sz w:val="22"/>
                <w:szCs w:val="22"/>
              </w:rPr>
              <w:t xml:space="preserve">) </w:t>
            </w:r>
          </w:p>
        </w:tc>
      </w:tr>
      <w:tr w:rsidR="00707668">
        <w:trPr>
          <w:trHeight w:val="240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7668" w:rsidRDefault="00152EDC" w:rsidP="00192FD5">
            <w:pPr>
              <w:pStyle w:val="a3"/>
              <w:spacing w:line="301" w:lineRule="atLeast"/>
              <w:rPr>
                <w:rFonts w:ascii="Exo 2" w:hAnsi="Exo 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С.Колюды</w:t>
            </w:r>
            <w:proofErr w:type="spellEnd"/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668" w:rsidRDefault="00152EDC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707668">
        <w:trPr>
          <w:trHeight w:val="30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7668" w:rsidRDefault="006A7D66" w:rsidP="00192FD5">
            <w:pPr>
              <w:pStyle w:val="a3"/>
              <w:spacing w:line="301" w:lineRule="atLeast"/>
              <w:rPr>
                <w:rFonts w:ascii="Exo 2" w:hAnsi="Exo 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д. </w:t>
            </w:r>
            <w:proofErr w:type="spellStart"/>
            <w:r w:rsidR="00152EDC">
              <w:rPr>
                <w:sz w:val="22"/>
                <w:szCs w:val="22"/>
              </w:rPr>
              <w:t>Фошное</w:t>
            </w:r>
            <w:proofErr w:type="spellEnd"/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668" w:rsidRDefault="00707668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0,</w:t>
            </w:r>
            <w:r w:rsidR="006A7D66">
              <w:rPr>
                <w:sz w:val="22"/>
                <w:szCs w:val="22"/>
              </w:rPr>
              <w:t>8</w:t>
            </w:r>
            <w:r>
              <w:rPr>
                <w:rFonts w:ascii="Exo 2" w:hAnsi="Exo 2"/>
                <w:sz w:val="22"/>
                <w:szCs w:val="22"/>
              </w:rPr>
              <w:t xml:space="preserve"> </w:t>
            </w:r>
          </w:p>
        </w:tc>
      </w:tr>
      <w:tr w:rsidR="00707668">
        <w:trPr>
          <w:trHeight w:val="30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7668" w:rsidRDefault="006A7D66" w:rsidP="00192FD5">
            <w:pPr>
              <w:pStyle w:val="a3"/>
              <w:spacing w:line="301" w:lineRule="atLeast"/>
              <w:rPr>
                <w:rFonts w:ascii="Exo 2" w:hAnsi="Exo 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152EDC">
              <w:rPr>
                <w:sz w:val="22"/>
                <w:szCs w:val="22"/>
              </w:rPr>
              <w:t>К</w:t>
            </w:r>
            <w:proofErr w:type="gramEnd"/>
            <w:r w:rsidR="00152EDC">
              <w:rPr>
                <w:sz w:val="22"/>
                <w:szCs w:val="22"/>
              </w:rPr>
              <w:t>ургановка</w:t>
            </w:r>
            <w:proofErr w:type="spellEnd"/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7668" w:rsidRDefault="00707668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8</w:t>
            </w:r>
            <w:r>
              <w:rPr>
                <w:rFonts w:ascii="Exo 2" w:hAnsi="Exo 2"/>
                <w:sz w:val="22"/>
                <w:szCs w:val="22"/>
              </w:rPr>
              <w:t xml:space="preserve"> </w:t>
            </w:r>
          </w:p>
        </w:tc>
      </w:tr>
      <w:tr w:rsidR="00707668" w:rsidTr="00152EDC">
        <w:trPr>
          <w:trHeight w:val="302"/>
        </w:trPr>
        <w:tc>
          <w:tcPr>
            <w:tcW w:w="5760" w:type="dxa"/>
            <w:tcBorders>
              <w:left w:val="single" w:sz="8" w:space="0" w:color="auto"/>
            </w:tcBorders>
            <w:vAlign w:val="center"/>
          </w:tcPr>
          <w:p w:rsidR="00707668" w:rsidRDefault="00152EDC" w:rsidP="00192FD5">
            <w:pPr>
              <w:pStyle w:val="a3"/>
              <w:spacing w:line="301" w:lineRule="atLeast"/>
              <w:rPr>
                <w:rFonts w:ascii="Exo 2" w:hAnsi="Exo 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убрежка</w:t>
            </w:r>
            <w:proofErr w:type="spellEnd"/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7668" w:rsidRDefault="00707668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0,8 </w:t>
            </w:r>
          </w:p>
        </w:tc>
      </w:tr>
      <w:tr w:rsidR="00152EDC" w:rsidTr="00152EDC">
        <w:trPr>
          <w:trHeight w:val="302"/>
        </w:trPr>
        <w:tc>
          <w:tcPr>
            <w:tcW w:w="5760" w:type="dxa"/>
            <w:tcBorders>
              <w:left w:val="single" w:sz="8" w:space="0" w:color="auto"/>
            </w:tcBorders>
            <w:vAlign w:val="center"/>
          </w:tcPr>
          <w:p w:rsidR="00152EDC" w:rsidRDefault="00152EDC" w:rsidP="00192FD5">
            <w:pPr>
              <w:pStyle w:val="a3"/>
              <w:spacing w:line="301" w:lineRule="atLeast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EDC" w:rsidRDefault="00152EDC" w:rsidP="00192FD5">
            <w:pPr>
              <w:pStyle w:val="a3"/>
              <w:spacing w:line="301" w:lineRule="atLeast"/>
              <w:jc w:val="center"/>
              <w:rPr>
                <w:rFonts w:ascii="Exo 2" w:hAnsi="Exo 2"/>
                <w:sz w:val="22"/>
                <w:szCs w:val="22"/>
              </w:rPr>
            </w:pPr>
          </w:p>
        </w:tc>
      </w:tr>
      <w:tr w:rsidR="00152EDC">
        <w:trPr>
          <w:trHeight w:val="30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52EDC" w:rsidRDefault="00152EDC" w:rsidP="00192FD5">
            <w:pPr>
              <w:pStyle w:val="a3"/>
              <w:spacing w:line="301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риничное</w:t>
            </w:r>
            <w:proofErr w:type="spellEnd"/>
          </w:p>
        </w:tc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DC" w:rsidRDefault="00152EDC" w:rsidP="00152EDC">
            <w:pPr>
              <w:pStyle w:val="a3"/>
              <w:spacing w:line="301" w:lineRule="atLeast"/>
              <w:rPr>
                <w:rFonts w:ascii="Exo 2" w:hAnsi="Exo 2"/>
                <w:sz w:val="22"/>
                <w:szCs w:val="22"/>
              </w:rPr>
            </w:pPr>
            <w:r>
              <w:rPr>
                <w:rFonts w:ascii="Exo 2" w:hAnsi="Exo 2"/>
                <w:sz w:val="22"/>
                <w:szCs w:val="22"/>
              </w:rPr>
              <w:t xml:space="preserve">                                0,8</w:t>
            </w:r>
            <w:bookmarkStart w:id="0" w:name="_GoBack"/>
            <w:bookmarkEnd w:id="0"/>
          </w:p>
        </w:tc>
      </w:tr>
    </w:tbl>
    <w:p w:rsidR="0058503D" w:rsidRPr="00A94103" w:rsidRDefault="0058503D" w:rsidP="005850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8503D" w:rsidRPr="00A94103" w:rsidSect="00C824C7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A40"/>
    <w:multiLevelType w:val="hybridMultilevel"/>
    <w:tmpl w:val="4F8E66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F2EA9"/>
    <w:multiLevelType w:val="multilevel"/>
    <w:tmpl w:val="D0E478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5000DD1"/>
    <w:multiLevelType w:val="hybridMultilevel"/>
    <w:tmpl w:val="9AC0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6EF3"/>
    <w:rsid w:val="00076A69"/>
    <w:rsid w:val="000A32FE"/>
    <w:rsid w:val="00117AD6"/>
    <w:rsid w:val="001256C5"/>
    <w:rsid w:val="00135E89"/>
    <w:rsid w:val="00152EDC"/>
    <w:rsid w:val="00192FD5"/>
    <w:rsid w:val="00195F05"/>
    <w:rsid w:val="001B5195"/>
    <w:rsid w:val="001B6A88"/>
    <w:rsid w:val="003354BE"/>
    <w:rsid w:val="00337386"/>
    <w:rsid w:val="003B6A29"/>
    <w:rsid w:val="004560A4"/>
    <w:rsid w:val="0051085B"/>
    <w:rsid w:val="00540482"/>
    <w:rsid w:val="00574ACE"/>
    <w:rsid w:val="005831DE"/>
    <w:rsid w:val="0058503D"/>
    <w:rsid w:val="00586EF3"/>
    <w:rsid w:val="005E0F70"/>
    <w:rsid w:val="0060624B"/>
    <w:rsid w:val="00630725"/>
    <w:rsid w:val="00655FE2"/>
    <w:rsid w:val="006A7D66"/>
    <w:rsid w:val="006E3752"/>
    <w:rsid w:val="00707668"/>
    <w:rsid w:val="00732B4D"/>
    <w:rsid w:val="00735FAE"/>
    <w:rsid w:val="00752B12"/>
    <w:rsid w:val="00785294"/>
    <w:rsid w:val="007919FE"/>
    <w:rsid w:val="00835B49"/>
    <w:rsid w:val="008372F1"/>
    <w:rsid w:val="0085196E"/>
    <w:rsid w:val="0086454E"/>
    <w:rsid w:val="00945862"/>
    <w:rsid w:val="00974E6F"/>
    <w:rsid w:val="00993188"/>
    <w:rsid w:val="009979BC"/>
    <w:rsid w:val="009D35C5"/>
    <w:rsid w:val="00A00AD0"/>
    <w:rsid w:val="00A34D24"/>
    <w:rsid w:val="00A70F04"/>
    <w:rsid w:val="00A811BC"/>
    <w:rsid w:val="00AA43FE"/>
    <w:rsid w:val="00AD5DD3"/>
    <w:rsid w:val="00B03F41"/>
    <w:rsid w:val="00B639BC"/>
    <w:rsid w:val="00B72CBC"/>
    <w:rsid w:val="00BD709F"/>
    <w:rsid w:val="00C06B28"/>
    <w:rsid w:val="00C1794A"/>
    <w:rsid w:val="00C66513"/>
    <w:rsid w:val="00C824C7"/>
    <w:rsid w:val="00C86C9C"/>
    <w:rsid w:val="00CE4602"/>
    <w:rsid w:val="00D73731"/>
    <w:rsid w:val="00DC331A"/>
    <w:rsid w:val="00EB0A02"/>
    <w:rsid w:val="00EF0D66"/>
    <w:rsid w:val="00EF2B7D"/>
    <w:rsid w:val="00F16A54"/>
    <w:rsid w:val="00F5633D"/>
    <w:rsid w:val="00F620FE"/>
    <w:rsid w:val="00F76460"/>
    <w:rsid w:val="00FB6BE5"/>
    <w:rsid w:val="00FE20C9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EF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337386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37386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58503D"/>
    <w:pPr>
      <w:tabs>
        <w:tab w:val="left" w:pos="4860"/>
      </w:tabs>
      <w:spacing w:after="0" w:line="240" w:lineRule="auto"/>
      <w:ind w:right="4495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sid w:val="0058503D"/>
    <w:rPr>
      <w:sz w:val="28"/>
      <w:szCs w:val="28"/>
      <w:lang w:val="ru-RU" w:eastAsia="ru-RU" w:bidi="ar-SA"/>
    </w:rPr>
  </w:style>
  <w:style w:type="paragraph" w:styleId="a3">
    <w:name w:val="Normal (Web)"/>
    <w:basedOn w:val="a"/>
    <w:rsid w:val="007076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semiHidden/>
    <w:rsid w:val="009458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8529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Российская Федерация</vt:lpstr>
    </vt:vector>
  </TitlesOfParts>
  <Company>Организация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Российская Федерация</dc:title>
  <dc:subject/>
  <dc:creator>Admin</dc:creator>
  <cp:keywords/>
  <cp:lastModifiedBy>Home</cp:lastModifiedBy>
  <cp:revision>12</cp:revision>
  <cp:lastPrinted>2016-05-30T12:32:00Z</cp:lastPrinted>
  <dcterms:created xsi:type="dcterms:W3CDTF">2016-05-30T12:21:00Z</dcterms:created>
  <dcterms:modified xsi:type="dcterms:W3CDTF">2018-11-29T13:12:00Z</dcterms:modified>
</cp:coreProperties>
</file>