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F8103">
      <w:pPr>
        <w:pStyle w:val="5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РОССИЙСКАЯ ФЕДЕРАЦИЯ</w:t>
      </w:r>
    </w:p>
    <w:p w14:paraId="3114E5CC">
      <w:pPr>
        <w:pStyle w:val="5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БРЯНСКАЯ ОБЛАСТЬ</w:t>
      </w:r>
    </w:p>
    <w:p w14:paraId="2E5B4DFE">
      <w:pPr>
        <w:pStyle w:val="5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КРАСНОГОРСКОГО РАЙОНА</w:t>
      </w:r>
    </w:p>
    <w:p w14:paraId="4E3D81CF">
      <w:pPr>
        <w:pStyle w:val="5"/>
        <w:jc w:val="both"/>
        <w:rPr>
          <w:rFonts w:ascii="Times New Roman" w:hAnsi="Times New Roman" w:cs="Times New Roman"/>
          <w:sz w:val="28"/>
          <w:szCs w:val="24"/>
        </w:rPr>
      </w:pPr>
    </w:p>
    <w:p w14:paraId="641A911B">
      <w:pPr>
        <w:pStyle w:val="5"/>
        <w:jc w:val="both"/>
        <w:rPr>
          <w:rFonts w:ascii="Times New Roman" w:hAnsi="Times New Roman" w:cs="Times New Roman"/>
          <w:sz w:val="28"/>
          <w:szCs w:val="24"/>
        </w:rPr>
      </w:pPr>
    </w:p>
    <w:p w14:paraId="6FBCED15">
      <w:pPr>
        <w:pStyle w:val="5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54B72444">
      <w:pPr>
        <w:pStyle w:val="5"/>
        <w:jc w:val="both"/>
        <w:rPr>
          <w:rFonts w:ascii="Times New Roman" w:hAnsi="Times New Roman" w:cs="Times New Roman"/>
          <w:sz w:val="28"/>
          <w:szCs w:val="24"/>
        </w:rPr>
      </w:pPr>
    </w:p>
    <w:p w14:paraId="40BE3EFC">
      <w:pPr>
        <w:pStyle w:val="5"/>
        <w:jc w:val="both"/>
        <w:rPr>
          <w:rFonts w:ascii="Times New Roman" w:hAnsi="Times New Roman" w:cs="Times New Roman"/>
          <w:sz w:val="28"/>
          <w:szCs w:val="24"/>
        </w:rPr>
      </w:pPr>
    </w:p>
    <w:p w14:paraId="04AEFE98">
      <w:pPr>
        <w:pStyle w:val="5"/>
        <w:tabs>
          <w:tab w:val="left" w:pos="2100"/>
        </w:tabs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sz w:val="28"/>
          <w:szCs w:val="28"/>
        </w:rPr>
        <w:t>.07.2026г.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246</w:t>
      </w:r>
    </w:p>
    <w:p w14:paraId="79E17FED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Красная Гора</w:t>
      </w:r>
    </w:p>
    <w:p w14:paraId="30AE976E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32E1C4BE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1A72ABD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мероприятий для работы с гражданами</w:t>
      </w:r>
    </w:p>
    <w:p w14:paraId="2FB72C8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старшего поколения в 2026 году в рамках реализации </w:t>
      </w:r>
    </w:p>
    <w:p w14:paraId="32385D3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региональной программы «Активное долголетие </w:t>
      </w:r>
    </w:p>
    <w:p w14:paraId="6087A08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Брянской области» до 2030 года </w:t>
      </w:r>
    </w:p>
    <w:p w14:paraId="5D562076">
      <w:pPr>
        <w:pStyle w:val="10"/>
        <w:ind w:right="4536" w:firstLine="0"/>
        <w:jc w:val="both"/>
      </w:pPr>
    </w:p>
    <w:p w14:paraId="0914CC92">
      <w:pPr>
        <w:pStyle w:val="10"/>
        <w:ind w:firstLine="580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РФ, руководству</w:t>
      </w:r>
      <w:r>
        <w:softHyphen/>
      </w:r>
      <w:r>
        <w:t xml:space="preserve">ясь Распоряжением Правительства Брянской области от 18 мая  2026 г. № 162-рп «Об утверждении региональной программы «Активное долголетие в Брянской области» на 2026-2030 годы, администрация Красногорского района </w:t>
      </w:r>
    </w:p>
    <w:p w14:paraId="6F4C74CE">
      <w:pPr>
        <w:pStyle w:val="10"/>
        <w:ind w:firstLine="580"/>
        <w:jc w:val="both"/>
      </w:pPr>
      <w:r>
        <w:t xml:space="preserve"> ПОСТАНОВЛЯЕТ:</w:t>
      </w:r>
    </w:p>
    <w:p w14:paraId="604FEA0D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1.Утвердить план мероприятий для работы с гражданами старшего поколения реализуемых на территории Красногорского муниципального района в 2026 году в рамках региональной программы «Активное долголетие в Брянской области» на 2026-2030 годы  (приложение 1).</w:t>
      </w:r>
    </w:p>
    <w:p w14:paraId="11DFC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Настоящее постановление разместить на официальном сайте администрации Красногорского района Брянской области в сети Интернет.</w:t>
      </w:r>
    </w:p>
    <w:p w14:paraId="5A6D19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Контроль за исполнением настоящего постановления возложить на заместителя главы администрации Глушакова В.А.</w:t>
      </w:r>
    </w:p>
    <w:p w14:paraId="5F210D95">
      <w:pPr>
        <w:pStyle w:val="12"/>
        <w:spacing w:after="320"/>
        <w:jc w:val="center"/>
        <w:rPr>
          <w:sz w:val="28"/>
          <w:szCs w:val="28"/>
        </w:rPr>
      </w:pPr>
    </w:p>
    <w:p w14:paraId="0BF03871">
      <w:pPr>
        <w:pStyle w:val="12"/>
        <w:spacing w:after="320"/>
        <w:jc w:val="center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С.С. Жилинский</w:t>
      </w:r>
    </w:p>
    <w:p w14:paraId="4D3BD0D7">
      <w:pPr>
        <w:pStyle w:val="12"/>
        <w:spacing w:after="320"/>
        <w:jc w:val="center"/>
        <w:rPr>
          <w:sz w:val="28"/>
          <w:szCs w:val="28"/>
        </w:rPr>
      </w:pPr>
    </w:p>
    <w:p w14:paraId="3D9E7C46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Дегтярев А.В.</w:t>
      </w:r>
    </w:p>
    <w:p w14:paraId="56F3D5C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9-13-98</w:t>
      </w:r>
    </w:p>
    <w:p w14:paraId="72A9CD5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5D101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78345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администрации Глушаков В.А.</w:t>
      </w:r>
    </w:p>
    <w:p w14:paraId="69A89C90">
      <w:pPr>
        <w:jc w:val="both"/>
        <w:rPr>
          <w:rFonts w:ascii="Times New Roman" w:hAnsi="Times New Roman" w:cs="Times New Roman"/>
        </w:rPr>
      </w:pPr>
    </w:p>
    <w:p w14:paraId="2BA52E4B">
      <w:pPr>
        <w:jc w:val="both"/>
        <w:rPr>
          <w:rFonts w:ascii="Times New Roman" w:hAnsi="Times New Roman" w:cs="Times New Roman"/>
        </w:rPr>
      </w:pPr>
    </w:p>
    <w:p w14:paraId="4303546D">
      <w:pPr>
        <w:jc w:val="both"/>
        <w:rPr>
          <w:rFonts w:ascii="Times New Roman" w:hAnsi="Times New Roman" w:cs="Times New Roman"/>
        </w:rPr>
      </w:pPr>
    </w:p>
    <w:p w14:paraId="7E2C9874">
      <w:pPr>
        <w:jc w:val="both"/>
        <w:rPr>
          <w:rFonts w:ascii="Times New Roman" w:hAnsi="Times New Roman" w:cs="Times New Roman"/>
        </w:rPr>
      </w:pPr>
    </w:p>
    <w:p w14:paraId="3F0273D5">
      <w:pPr>
        <w:pStyle w:val="22"/>
        <w:sectPr>
          <w:pgSz w:w="11900" w:h="16840"/>
          <w:pgMar w:top="1273" w:right="832" w:bottom="1273" w:left="1583" w:header="845" w:footer="845" w:gutter="0"/>
          <w:cols w:space="720" w:num="1"/>
          <w:docGrid w:linePitch="360" w:charSpace="0"/>
        </w:sectPr>
      </w:pPr>
      <w:r>
        <w:t xml:space="preserve">  </w:t>
      </w:r>
    </w:p>
    <w:p w14:paraId="0C29791A">
      <w:pPr>
        <w:pStyle w:val="22"/>
        <w:jc w:val="right"/>
        <w:rPr>
          <w:bCs/>
          <w:szCs w:val="28"/>
        </w:rPr>
      </w:pPr>
      <w:r>
        <w:t xml:space="preserve">Приложение 1 </w:t>
      </w:r>
    </w:p>
    <w:p w14:paraId="0B38D7ED">
      <w:pPr>
        <w:pStyle w:val="22"/>
        <w:tabs>
          <w:tab w:val="left" w:pos="8783"/>
          <w:tab w:val="left" w:pos="9518"/>
        </w:tabs>
        <w:ind w:firstLine="283"/>
        <w:jc w:val="right"/>
      </w:pPr>
      <w:r>
        <w:t xml:space="preserve">                                                                                                                                              к</w:t>
      </w:r>
      <w:r>
        <w:rPr>
          <w:color w:val="000000" w:themeColor="text1"/>
          <w:sz w:val="26"/>
          <w14:textFill>
            <w14:solidFill>
              <w14:schemeClr w14:val="tx1"/>
            </w14:solidFill>
          </w14:textFill>
        </w:rPr>
        <w:t xml:space="preserve"> постановлению администрации Красногорского района №246 от 17.</w:t>
      </w:r>
      <w:bookmarkStart w:id="0" w:name="_GoBack"/>
      <w:bookmarkEnd w:id="0"/>
      <w:r>
        <w:rPr>
          <w:color w:val="000000" w:themeColor="text1"/>
          <w:sz w:val="26"/>
          <w14:textFill>
            <w14:solidFill>
              <w14:schemeClr w14:val="tx1"/>
            </w14:solidFill>
          </w14:textFill>
        </w:rPr>
        <w:t>07.2026г.</w:t>
      </w:r>
      <w:r>
        <w:t xml:space="preserve"> </w:t>
      </w:r>
    </w:p>
    <w:p w14:paraId="328EA721">
      <w:pPr>
        <w:rPr>
          <w:rFonts w:ascii="Times New Roman" w:hAnsi="Times New Roman" w:eastAsia="Times New Roman" w:cs="Times New Roman"/>
          <w:szCs w:val="28"/>
        </w:rPr>
      </w:pPr>
    </w:p>
    <w:p w14:paraId="3DEF2EE7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</w:p>
    <w:p w14:paraId="6BC206CA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</w:p>
    <w:p w14:paraId="46663C5C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  <w:r>
        <w:rPr>
          <w:rFonts w:ascii="Times New Roman" w:hAnsi="Times New Roman" w:eastAsia="Times New Roman" w:cs="Times New Roman"/>
          <w:b/>
          <w:bCs/>
          <w:szCs w:val="28"/>
        </w:rPr>
        <w:t xml:space="preserve">План мероприятий </w:t>
      </w:r>
    </w:p>
    <w:p w14:paraId="47EA0DDE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  <w:r>
        <w:rPr>
          <w:rFonts w:ascii="Times New Roman" w:hAnsi="Times New Roman" w:eastAsia="Times New Roman" w:cs="Times New Roman"/>
          <w:b/>
          <w:bCs/>
          <w:szCs w:val="28"/>
        </w:rPr>
        <w:t>для работы с гражданами старшего поколения реализуемых на территории Красногорского муниципального района</w:t>
      </w:r>
    </w:p>
    <w:p w14:paraId="203B80D8">
      <w:pPr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bCs/>
          <w:szCs w:val="28"/>
        </w:rPr>
        <w:t xml:space="preserve">                     в 2026 году в рамках </w:t>
      </w: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региональной программы </w:t>
      </w:r>
      <w:r>
        <w:rPr>
          <w:rFonts w:ascii="Times New Roman" w:hAnsi="Times New Roman" w:eastAsia="Times New Roman" w:cs="Times New Roman"/>
          <w:b/>
        </w:rPr>
        <w:t xml:space="preserve"> «Активное долголетие в Брянской области» на 2026-2030 годы</w:t>
      </w:r>
    </w:p>
    <w:p w14:paraId="5C7A0779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</w:p>
    <w:p w14:paraId="4663BD4C">
      <w:pPr>
        <w:jc w:val="center"/>
        <w:rPr>
          <w:rFonts w:ascii="Times New Roman" w:hAnsi="Times New Roman" w:eastAsia="Times New Roman" w:cs="Times New Roman"/>
          <w:b/>
          <w:bCs/>
          <w:szCs w:val="28"/>
        </w:rPr>
      </w:pPr>
    </w:p>
    <w:tbl>
      <w:tblPr>
        <w:tblStyle w:val="23"/>
        <w:tblW w:w="1471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6"/>
        <w:gridCol w:w="1526"/>
        <w:gridCol w:w="2657"/>
        <w:gridCol w:w="1945"/>
        <w:gridCol w:w="4222"/>
      </w:tblGrid>
      <w:tr w14:paraId="35FC8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17" w:type="dxa"/>
          </w:tcPr>
          <w:p w14:paraId="42722752">
            <w:pPr>
              <w:jc w:val="center"/>
              <w:rPr>
                <w:rFonts w:ascii="Times New Roman" w:hAnsi="Times New Roman" w:eastAsia="Times New Roman" w:cs="Times New Roman"/>
                <w:bCs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Cs w:val="28"/>
                <w:highlight w:val="white"/>
              </w:rPr>
              <w:t>№</w:t>
            </w:r>
          </w:p>
        </w:tc>
        <w:tc>
          <w:tcPr>
            <w:tcW w:w="3546" w:type="dxa"/>
            <w:shd w:val="clear" w:color="auto" w:fill="auto"/>
          </w:tcPr>
          <w:p w14:paraId="665598BF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Наименование мероприятия</w:t>
            </w:r>
          </w:p>
        </w:tc>
        <w:tc>
          <w:tcPr>
            <w:tcW w:w="1526" w:type="dxa"/>
            <w:shd w:val="clear" w:color="auto" w:fill="auto"/>
          </w:tcPr>
          <w:p w14:paraId="521A6B1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Срок реализации</w:t>
            </w:r>
          </w:p>
        </w:tc>
        <w:tc>
          <w:tcPr>
            <w:tcW w:w="2657" w:type="dxa"/>
            <w:shd w:val="clear" w:color="auto" w:fill="auto"/>
          </w:tcPr>
          <w:p w14:paraId="1D1E1E4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Ответственные исполнители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>и соисполнители</w:t>
            </w:r>
          </w:p>
        </w:tc>
        <w:tc>
          <w:tcPr>
            <w:tcW w:w="1945" w:type="dxa"/>
          </w:tcPr>
          <w:p w14:paraId="4217BBD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Вид документа</w:t>
            </w:r>
          </w:p>
        </w:tc>
        <w:tc>
          <w:tcPr>
            <w:tcW w:w="4222" w:type="dxa"/>
            <w:shd w:val="clear" w:color="auto" w:fill="auto"/>
          </w:tcPr>
          <w:p w14:paraId="2EC1143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Ожидаемый результат</w:t>
            </w:r>
          </w:p>
        </w:tc>
      </w:tr>
      <w:tr w14:paraId="76759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3" w:type="dxa"/>
            <w:gridSpan w:val="6"/>
          </w:tcPr>
          <w:p w14:paraId="703A4EA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  <w:t>Меры, направленные на укрепление в обществе ценности многопоколенной семьи, уважительного отношения к старшему поколению</w:t>
            </w:r>
          </w:p>
        </w:tc>
      </w:tr>
      <w:tr w14:paraId="759FC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30EA89">
            <w:pPr>
              <w:numPr>
                <w:ilvl w:val="0"/>
                <w:numId w:val="2"/>
              </w:numPr>
              <w:ind w:hanging="828"/>
              <w:contextualSpacing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3546" w:type="dxa"/>
          </w:tcPr>
          <w:p w14:paraId="7D3267AB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Проведение информационно-коммуникационной кампании, направленной на преодоление у детей, молодежи и лиц среднего возраста 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подрастающего поколения</w:t>
            </w:r>
          </w:p>
        </w:tc>
        <w:tc>
          <w:tcPr>
            <w:tcW w:w="1526" w:type="dxa"/>
          </w:tcPr>
          <w:p w14:paraId="59CD17F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2F6697E1">
            <w:pPr>
              <w:contextualSpacing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образовательные организации,</w:t>
            </w:r>
          </w:p>
          <w:p w14:paraId="13EC33AC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учреждения культуры</w:t>
            </w:r>
          </w:p>
        </w:tc>
        <w:tc>
          <w:tcPr>
            <w:tcW w:w="1945" w:type="dxa"/>
          </w:tcPr>
          <w:p w14:paraId="63D1BB3F">
            <w:pPr>
              <w:contextualSpacing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 (ежегодно)</w:t>
            </w:r>
          </w:p>
          <w:p w14:paraId="7605CA30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4222" w:type="dxa"/>
          </w:tcPr>
          <w:p w14:paraId="588C76E7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проведено 95 мероприятий для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детей,, направленных на преодоление 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подрастающих поколений. Посещение отделения для временного проживания пожилых граждан, поздравление ветеранов и труженников тыла, волонтерская помощь пожилым людям, тематические мероприятия к ДЕД и т.д.</w:t>
            </w:r>
          </w:p>
        </w:tc>
      </w:tr>
      <w:tr w14:paraId="37499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398DED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2.</w:t>
            </w:r>
          </w:p>
        </w:tc>
        <w:tc>
          <w:tcPr>
            <w:tcW w:w="3546" w:type="dxa"/>
          </w:tcPr>
          <w:p w14:paraId="6BE7AF5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Проведение в образовательных организациях, учреждениях культуры тематических мероприятий в рамках Декады пожилого человека</w:t>
            </w:r>
          </w:p>
        </w:tc>
        <w:tc>
          <w:tcPr>
            <w:tcW w:w="1526" w:type="dxa"/>
          </w:tcPr>
          <w:p w14:paraId="714E1A2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519042F5">
            <w:pPr>
              <w:contextualSpacing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образовательные организации,</w:t>
            </w:r>
          </w:p>
          <w:p w14:paraId="109D9395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учреждения культуры</w:t>
            </w:r>
          </w:p>
        </w:tc>
        <w:tc>
          <w:tcPr>
            <w:tcW w:w="1945" w:type="dxa"/>
          </w:tcPr>
          <w:p w14:paraId="4EA3973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отчет</w:t>
            </w:r>
          </w:p>
          <w:p w14:paraId="0D334C7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  <w:p w14:paraId="0D958DF4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38E2A472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4AB044B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проведены торжественные мероприятия (концерты) для ветеранов и проживающих в домах престарелых, участие в акции «Добро без границ»</w:t>
            </w:r>
          </w:p>
        </w:tc>
      </w:tr>
      <w:tr w14:paraId="123D3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817" w:type="dxa"/>
          </w:tcPr>
          <w:p w14:paraId="05C57110">
            <w:pPr>
              <w:contextualSpacing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     3.</w:t>
            </w:r>
          </w:p>
        </w:tc>
        <w:tc>
          <w:tcPr>
            <w:tcW w:w="3546" w:type="dxa"/>
          </w:tcPr>
          <w:p w14:paraId="11671039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Формирование в обществе социокультурных установок, нацеленных на повышение социального статуса граждан старшего поколения и важности благополучного старения граждан старшего поколения</w:t>
            </w:r>
          </w:p>
          <w:p w14:paraId="5AA03AE2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1526" w:type="dxa"/>
          </w:tcPr>
          <w:p w14:paraId="334EC8C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  <w:p w14:paraId="02256795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2657" w:type="dxa"/>
          </w:tcPr>
          <w:p w14:paraId="02EBA7E6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образовательные организации</w:t>
            </w:r>
          </w:p>
        </w:tc>
        <w:tc>
          <w:tcPr>
            <w:tcW w:w="1945" w:type="dxa"/>
          </w:tcPr>
          <w:p w14:paraId="563B6B50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46149808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1DA3E45D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проведено 56 мероприятий, направленных на формирование уважительного отношения к гражданам старшего поколения и понимания их ценности в обществе, важности благополучного старения граждан старшего поколения</w:t>
            </w:r>
          </w:p>
        </w:tc>
      </w:tr>
      <w:tr w14:paraId="24D6B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17" w:type="dxa"/>
          </w:tcPr>
          <w:p w14:paraId="25647331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4.</w:t>
            </w:r>
          </w:p>
        </w:tc>
        <w:tc>
          <w:tcPr>
            <w:tcW w:w="3546" w:type="dxa"/>
          </w:tcPr>
          <w:p w14:paraId="7AEC4FC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Размещение информации,</w:t>
            </w:r>
          </w:p>
          <w:p w14:paraId="660F27E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направленной на преодоление у</w:t>
            </w:r>
          </w:p>
          <w:p w14:paraId="2A7EEDF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детей, молодежи и лиц среднего</w:t>
            </w:r>
          </w:p>
          <w:p w14:paraId="39CC699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возраста стереотипов и</w:t>
            </w:r>
          </w:p>
          <w:p w14:paraId="3F8400F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дискриминационных</w:t>
            </w:r>
          </w:p>
          <w:p w14:paraId="56E0D24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подрастающего поколения, предоставленной</w:t>
            </w:r>
          </w:p>
          <w:p w14:paraId="1E6EACC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департаментом социальной</w:t>
            </w:r>
          </w:p>
          <w:p w14:paraId="1A9FA13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политики и занятости</w:t>
            </w:r>
          </w:p>
          <w:p w14:paraId="59FEC0B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населения Брянской области, в</w:t>
            </w:r>
          </w:p>
          <w:p w14:paraId="542AD13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официальных пабликах</w:t>
            </w:r>
          </w:p>
          <w:p w14:paraId="69F1372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управления молодежной</w:t>
            </w:r>
          </w:p>
          <w:p w14:paraId="2BB9770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политики Брянской области</w:t>
            </w:r>
          </w:p>
        </w:tc>
        <w:tc>
          <w:tcPr>
            <w:tcW w:w="1526" w:type="dxa"/>
          </w:tcPr>
          <w:p w14:paraId="52025CF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0CE8ED85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1950571A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образовательные организации</w:t>
            </w:r>
          </w:p>
        </w:tc>
        <w:tc>
          <w:tcPr>
            <w:tcW w:w="1945" w:type="dxa"/>
          </w:tcPr>
          <w:p w14:paraId="4C620282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отчет</w:t>
            </w:r>
          </w:p>
          <w:p w14:paraId="71FA595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(ежегодно)</w:t>
            </w:r>
          </w:p>
          <w:p w14:paraId="44CAAFA8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3FDEA08C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3BFA38A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размещение в СМИ, официальных пабликах  информации,   направленной на</w:t>
            </w:r>
          </w:p>
          <w:p w14:paraId="19B3C4F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преодоление у детей, молодежи</w:t>
            </w:r>
          </w:p>
          <w:p w14:paraId="7C9D489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 лиц среднего возраста</w:t>
            </w:r>
          </w:p>
          <w:p w14:paraId="24AE70E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</w:t>
            </w:r>
          </w:p>
          <w:p w14:paraId="4D9C596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сохранении и укреплении семьи</w:t>
            </w:r>
          </w:p>
          <w:p w14:paraId="49FC294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 воспитании подрастающего поколения</w:t>
            </w:r>
          </w:p>
        </w:tc>
      </w:tr>
      <w:tr w14:paraId="10CF6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17" w:type="dxa"/>
          </w:tcPr>
          <w:p w14:paraId="35F01545">
            <w:pPr>
              <w:ind w:left="862" w:hanging="828"/>
              <w:contextualSpacing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5.</w:t>
            </w:r>
          </w:p>
        </w:tc>
        <w:tc>
          <w:tcPr>
            <w:tcW w:w="3546" w:type="dxa"/>
          </w:tcPr>
          <w:p w14:paraId="5243B10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Укрепление в обществе ценности многопоколенной семьи, уважительного отношения к старшему поколению</w:t>
            </w:r>
          </w:p>
        </w:tc>
        <w:tc>
          <w:tcPr>
            <w:tcW w:w="1526" w:type="dxa"/>
          </w:tcPr>
          <w:p w14:paraId="634D6A20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0DE22F5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49F835F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налитический отчет</w:t>
            </w:r>
          </w:p>
          <w:p w14:paraId="4528E167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731106C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размещение в региональных СМИ материалов, направленных на пропаганду ценностей многопоколенной семьи, роли граждан старшего поколения в сохранении и укреплении семьи и воспитании подрастающих поколений, важности семьи в жизни самих граждан старшего поколения, продвижение идеи преемственности поколений.</w:t>
            </w:r>
          </w:p>
          <w:p w14:paraId="67ED1E19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</w:tr>
      <w:tr w14:paraId="08A51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4713" w:type="dxa"/>
            <w:gridSpan w:val="6"/>
            <w:vAlign w:val="center"/>
          </w:tcPr>
          <w:p w14:paraId="0618C077">
            <w:pPr>
              <w:numPr>
                <w:ilvl w:val="0"/>
                <w:numId w:val="1"/>
              </w:num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  <w:t>Охрана здоровья граждан старшего поколения, профилактика заболеваний и факторов риска их развития, повышение доступности медицинской помощи для граждан старшего поколения, в том числе на дому, внедрение новых методов диагностики и лечения у них заболеваний, улучшение лекарственного обеспечения, продление активного здорового долголетия граждан старшего поколения</w:t>
            </w:r>
          </w:p>
        </w:tc>
      </w:tr>
      <w:tr w14:paraId="2EF3A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41E1C6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   6.</w:t>
            </w:r>
          </w:p>
        </w:tc>
        <w:tc>
          <w:tcPr>
            <w:tcW w:w="3546" w:type="dxa"/>
          </w:tcPr>
          <w:p w14:paraId="00D0BD6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Совершенствование организации оказания медицинской помощи гражданам старшего поколения в целях повышения ее доступности, в том числе на дому</w:t>
            </w:r>
          </w:p>
        </w:tc>
        <w:tc>
          <w:tcPr>
            <w:tcW w:w="1526" w:type="dxa"/>
          </w:tcPr>
          <w:p w14:paraId="044D673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71825D6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</w:tc>
        <w:tc>
          <w:tcPr>
            <w:tcW w:w="1945" w:type="dxa"/>
          </w:tcPr>
          <w:p w14:paraId="4C483B7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  <w:p w14:paraId="02BE8C37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4A1250C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обеспечены геронтологическими койками не менее 3 единицы на 10 000 населения лица возрастной группы 70 лет и старше к 2030 году</w:t>
            </w:r>
          </w:p>
          <w:p w14:paraId="45EE45E6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</w:tr>
      <w:tr w14:paraId="3DC8D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D887EE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7.</w:t>
            </w:r>
          </w:p>
        </w:tc>
        <w:tc>
          <w:tcPr>
            <w:tcW w:w="3546" w:type="dxa"/>
          </w:tcPr>
          <w:p w14:paraId="1CEF3357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Совершенствование профилактических мероприятий по предупреждению и раннему выявлению заболеваний граждан старшего поколения, гериатрических синдромов и фактов риска их развития</w:t>
            </w:r>
          </w:p>
        </w:tc>
        <w:tc>
          <w:tcPr>
            <w:tcW w:w="1526" w:type="dxa"/>
          </w:tcPr>
          <w:p w14:paraId="3819709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  <w:vAlign w:val="center"/>
          </w:tcPr>
          <w:p w14:paraId="28D0C53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</w:tc>
        <w:tc>
          <w:tcPr>
            <w:tcW w:w="1945" w:type="dxa"/>
          </w:tcPr>
          <w:p w14:paraId="522974F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  <w:p w14:paraId="5DC3D55C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  <w:vAlign w:val="center"/>
          </w:tcPr>
          <w:p w14:paraId="48F54AD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доля граждан старше трудоспособного возраста с выявленным синдромом старческой астении в числе граждан, прошедших профилактические осмотры</w:t>
            </w:r>
          </w:p>
        </w:tc>
      </w:tr>
      <w:tr w14:paraId="7265B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7E2CA2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8.</w:t>
            </w:r>
          </w:p>
        </w:tc>
        <w:tc>
          <w:tcPr>
            <w:tcW w:w="3546" w:type="dxa"/>
          </w:tcPr>
          <w:p w14:paraId="5A23B5F4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Осуществление диспансерного наблюдения граждан старшего </w:t>
            </w:r>
            <w:r>
              <w:rPr>
                <w:rFonts w:ascii="Times New Roman" w:hAnsi="Times New Roman" w:eastAsia="Times New Roman" w:cs="Times New Roman"/>
                <w:bCs/>
                <w:spacing w:val="-6"/>
                <w:highlight w:val="white"/>
              </w:rPr>
              <w:t>поколения, обеспечение преемственности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между медицинской помощью, оказываемой в амбулаторных и стационарных условиях</w:t>
            </w:r>
          </w:p>
        </w:tc>
        <w:tc>
          <w:tcPr>
            <w:tcW w:w="1526" w:type="dxa"/>
          </w:tcPr>
          <w:p w14:paraId="3D30039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  <w:vAlign w:val="center"/>
          </w:tcPr>
          <w:p w14:paraId="08D5CD5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</w:tc>
        <w:tc>
          <w:tcPr>
            <w:tcW w:w="1945" w:type="dxa"/>
            <w:vAlign w:val="center"/>
          </w:tcPr>
          <w:p w14:paraId="7850848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  <w:p w14:paraId="4FF2F4BF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  <w:vAlign w:val="center"/>
          </w:tcPr>
          <w:p w14:paraId="4D941BC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охвачено диспансерным наблюдением не менее 18 процентов лиц старше трудоспособного возраста из числа лиц, подлежащих диспансерному наблюдению в 2026 году</w:t>
            </w:r>
          </w:p>
        </w:tc>
      </w:tr>
      <w:tr w14:paraId="498B6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18B1402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9.</w:t>
            </w:r>
          </w:p>
        </w:tc>
        <w:tc>
          <w:tcPr>
            <w:tcW w:w="3546" w:type="dxa"/>
          </w:tcPr>
          <w:p w14:paraId="74AA6E5D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Обеспечение доступности медицинской помощи для граждан старшего поколения, проживающих в отдаленных районах и сельской местности, в том числе посредством выездов мобильных медицинских бригад и медицинских комплексов, а также проведения консультации с использованием телемедицинских технологий</w:t>
            </w:r>
          </w:p>
        </w:tc>
        <w:tc>
          <w:tcPr>
            <w:tcW w:w="1526" w:type="dxa"/>
          </w:tcPr>
          <w:p w14:paraId="4B560D5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16006CB7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4918EB4B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</w:tc>
        <w:tc>
          <w:tcPr>
            <w:tcW w:w="1945" w:type="dxa"/>
          </w:tcPr>
          <w:p w14:paraId="1E14470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  <w:p w14:paraId="15352756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6D2D1CC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обеспечено проведение не менее 2 консультаций</w:t>
            </w:r>
          </w:p>
          <w:p w14:paraId="5F0EB8A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по профилю «гериатрия» с использованием</w:t>
            </w:r>
          </w:p>
          <w:p w14:paraId="346C0B8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телемедицинских технологий</w:t>
            </w:r>
          </w:p>
          <w:p w14:paraId="0118D5C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4"/>
                <w:highlight w:val="white"/>
              </w:rPr>
              <w:t>со специалистами областных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медицинских центров здоровья</w:t>
            </w:r>
          </w:p>
        </w:tc>
      </w:tr>
      <w:tr w14:paraId="7135D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F5534F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10.</w:t>
            </w:r>
          </w:p>
        </w:tc>
        <w:tc>
          <w:tcPr>
            <w:tcW w:w="3546" w:type="dxa"/>
          </w:tcPr>
          <w:p w14:paraId="6C4670F0">
            <w:pPr>
              <w:jc w:val="both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Ведение школ для больных с хроническими неинфекционными заболеваниями, в том числе больных сахарным диабетом и болезнями сердечно-сосудистой системы</w:t>
            </w:r>
          </w:p>
        </w:tc>
        <w:tc>
          <w:tcPr>
            <w:tcW w:w="1526" w:type="dxa"/>
          </w:tcPr>
          <w:p w14:paraId="71ED775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4F93C00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</w:tc>
        <w:tc>
          <w:tcPr>
            <w:tcW w:w="1945" w:type="dxa"/>
          </w:tcPr>
          <w:p w14:paraId="4EDDA1F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</w:rPr>
              <w:t>отчет</w:t>
            </w:r>
          </w:p>
          <w:p w14:paraId="75BB3F8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</w:rPr>
              <w:t>(ежегодно)</w:t>
            </w:r>
          </w:p>
          <w:p w14:paraId="0D8E2891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  <w:vAlign w:val="center"/>
          </w:tcPr>
          <w:p w14:paraId="0BAFE78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до 70 процентов к 2030 году доля лиц с хроническими неинфекционными заболеваниями, состоящих на диспансерном наблюдении на участке врача-терапевта, получивших в отчетном периоде медицинские услуги в рамках диспансерного наблюдения, в общем количестве всех пациентов с хроническими неинфекционными заболеваниями, состоящих на диспансерном наблюдении на участке врача-терапевта</w:t>
            </w:r>
          </w:p>
        </w:tc>
      </w:tr>
      <w:tr w14:paraId="3B3D1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17" w:type="dxa"/>
          </w:tcPr>
          <w:p w14:paraId="43B35E0B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11.</w:t>
            </w:r>
          </w:p>
        </w:tc>
        <w:tc>
          <w:tcPr>
            <w:tcW w:w="3546" w:type="dxa"/>
          </w:tcPr>
          <w:p w14:paraId="615A113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Проведение мероприятий, направленных на повышение уровня медицинской грамотности и просвещение граждан старшего поколения по вопросам здорового старения и активного долголетия, профилактики и лечения возраст-ассоциированных заболеваний и гериатрических синдромов, информирование о ведении здорового образа жизни в пожилом возрасте, в том числе в рамках школ пациентов с хроническими неинфекционными заболеваниями, школ активного долголетия, школ пожилого пациента</w:t>
            </w:r>
          </w:p>
        </w:tc>
        <w:tc>
          <w:tcPr>
            <w:tcW w:w="1526" w:type="dxa"/>
          </w:tcPr>
          <w:p w14:paraId="4CC1106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  <w:p w14:paraId="1B113E43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5E446A8E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  <w:p w14:paraId="5ACF6B04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32F7AAA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отчет</w:t>
            </w:r>
          </w:p>
          <w:p w14:paraId="5F0237DB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>(ежегодно)</w:t>
            </w:r>
          </w:p>
        </w:tc>
        <w:tc>
          <w:tcPr>
            <w:tcW w:w="4222" w:type="dxa"/>
          </w:tcPr>
          <w:p w14:paraId="656EC7D9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проведено 30 мероприятий по повышению уровня медицинской грамотности граждан старшего поколения по вопросам здорового старения и активного долголетия, профилактики и лечения возраст-ассоциированных заболеваний и гериатрических синдромов</w:t>
            </w:r>
          </w:p>
        </w:tc>
      </w:tr>
      <w:tr w14:paraId="7076E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7" w:type="dxa"/>
          </w:tcPr>
          <w:p w14:paraId="6D0CBB95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12.</w:t>
            </w:r>
          </w:p>
        </w:tc>
        <w:tc>
          <w:tcPr>
            <w:tcW w:w="3546" w:type="dxa"/>
          </w:tcPr>
          <w:p w14:paraId="3E27F14A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Совершенствование мер по профилактике падений и переломов у граждан старшего поколения</w:t>
            </w:r>
          </w:p>
        </w:tc>
        <w:tc>
          <w:tcPr>
            <w:tcW w:w="1526" w:type="dxa"/>
          </w:tcPr>
          <w:p w14:paraId="27996070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  <w:vAlign w:val="center"/>
          </w:tcPr>
          <w:p w14:paraId="625D6471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  <w:p w14:paraId="1559B2F0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6FC73055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3270D12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приказ</w:t>
            </w:r>
          </w:p>
        </w:tc>
        <w:tc>
          <w:tcPr>
            <w:tcW w:w="4222" w:type="dxa"/>
          </w:tcPr>
          <w:p w14:paraId="3F71CFD5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внедрены мероприятия комплекса мер, направленного на профилактику падений и переломов у лиц пожилого и старческого возраста</w:t>
            </w:r>
          </w:p>
        </w:tc>
      </w:tr>
      <w:tr w14:paraId="176C3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6FE9F8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13.</w:t>
            </w:r>
          </w:p>
        </w:tc>
        <w:tc>
          <w:tcPr>
            <w:tcW w:w="3546" w:type="dxa"/>
          </w:tcPr>
          <w:p w14:paraId="7A823CE7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Разработка и реализация программ для граждан старшего поколения по формированию здорового образа жизни</w:t>
            </w:r>
          </w:p>
        </w:tc>
        <w:tc>
          <w:tcPr>
            <w:tcW w:w="1526" w:type="dxa"/>
          </w:tcPr>
          <w:p w14:paraId="53215E3B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  <w:p w14:paraId="0BFE4CFF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20D02D74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ГБУЗ «Красногорская ЦРБ»</w:t>
            </w:r>
          </w:p>
          <w:p w14:paraId="123FE4A9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3F9FB0F7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26B7D380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отчет (ежегодно)</w:t>
            </w:r>
          </w:p>
        </w:tc>
        <w:tc>
          <w:tcPr>
            <w:tcW w:w="4222" w:type="dxa"/>
          </w:tcPr>
          <w:p w14:paraId="56E312F1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до 7 процентов доля граждан, ведущих здоровый образ жизни, в общей численности населения</w:t>
            </w:r>
          </w:p>
        </w:tc>
      </w:tr>
      <w:tr w14:paraId="6EC3C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713" w:type="dxa"/>
            <w:gridSpan w:val="6"/>
            <w:vAlign w:val="center"/>
          </w:tcPr>
          <w:p w14:paraId="6E3A073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  <w:t>Меры, направленные на создание условий для реализации личностного потенциала граждан старшего поколения и расширения их участия в жизни общества</w:t>
            </w:r>
          </w:p>
        </w:tc>
      </w:tr>
      <w:tr w14:paraId="5E8A3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17" w:type="dxa"/>
          </w:tcPr>
          <w:p w14:paraId="57DD7858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14.</w:t>
            </w:r>
          </w:p>
        </w:tc>
        <w:tc>
          <w:tcPr>
            <w:tcW w:w="3546" w:type="dxa"/>
          </w:tcPr>
          <w:p w14:paraId="7E37050E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Проведение просветительских мероприятий, направленных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Cs/>
                <w:spacing w:val="-8"/>
                <w:highlight w:val="white"/>
              </w:rPr>
              <w:t>формирование позитивного представления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граждан старшего поколения о здоровом и активном образе жизни, в том числе в рамках школ активного долголетия, школ пожилого пациента</w:t>
            </w:r>
          </w:p>
        </w:tc>
        <w:tc>
          <w:tcPr>
            <w:tcW w:w="1526" w:type="dxa"/>
          </w:tcPr>
          <w:p w14:paraId="26BCAF1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626DEDD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0D173DEF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65677A4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20D6DC55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проведено 4 просветительских мероприятий в целях популяризации здорового и активного образа жизни среди граждан старшего поколения, в том числе в рамках школ активного долголетия</w:t>
            </w:r>
          </w:p>
        </w:tc>
      </w:tr>
      <w:tr w14:paraId="4CC5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A2F7E0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5.</w:t>
            </w:r>
          </w:p>
        </w:tc>
        <w:tc>
          <w:tcPr>
            <w:tcW w:w="3546" w:type="dxa"/>
          </w:tcPr>
          <w:p w14:paraId="1F48507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Проведение обучающих и информационных мероприятий (лекций, занятий и др.) по финансовой грамотности и формированию финансовой культуры граждан старшего поколения»</w:t>
            </w:r>
          </w:p>
        </w:tc>
        <w:tc>
          <w:tcPr>
            <w:tcW w:w="1526" w:type="dxa"/>
          </w:tcPr>
          <w:p w14:paraId="3A73A46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2294B25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района», районная общественная организация ветеранов (пенсионеров) войны, труда, вооруженных сил и правоохранительных органов  </w:t>
            </w:r>
          </w:p>
        </w:tc>
        <w:tc>
          <w:tcPr>
            <w:tcW w:w="1945" w:type="dxa"/>
          </w:tcPr>
          <w:p w14:paraId="0CF2298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отчет</w:t>
            </w:r>
          </w:p>
          <w:p w14:paraId="529D1FED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2A880E13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38E1CF8B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0698559A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7898DCB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проведено 3 </w:t>
            </w: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обучающих и информационных мероприятий (лекций, занятий и др.) по финансовой грамотности и формированию финансовой культуры граждан старшего поколения»</w:t>
            </w:r>
          </w:p>
        </w:tc>
      </w:tr>
      <w:tr w14:paraId="3C3F2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3FBDAC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16.</w:t>
            </w:r>
          </w:p>
        </w:tc>
        <w:tc>
          <w:tcPr>
            <w:tcW w:w="3546" w:type="dxa"/>
          </w:tcPr>
          <w:p w14:paraId="7EF0B23A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Реализация региональной программы «Активное долголетие в Брянской области» на 2026-2030 годы  направленной на вовлечение граждан старшего поколения в культурно-досуговую, физкультурно-оздоровительную, образовательно-познавательную, социально-трудовую, добровольческую деятельность, а также деятельность по социальному туризму</w:t>
            </w:r>
          </w:p>
        </w:tc>
        <w:tc>
          <w:tcPr>
            <w:tcW w:w="1526" w:type="dxa"/>
          </w:tcPr>
          <w:p w14:paraId="1F6C5DE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</w:tc>
        <w:tc>
          <w:tcPr>
            <w:tcW w:w="2657" w:type="dxa"/>
          </w:tcPr>
          <w:p w14:paraId="65FE3B5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отдел культуры, спорта и молодежной политики администрации района, учреждения культуры, ФОК «Беседь»</w:t>
            </w:r>
          </w:p>
        </w:tc>
        <w:tc>
          <w:tcPr>
            <w:tcW w:w="1945" w:type="dxa"/>
          </w:tcPr>
          <w:p w14:paraId="20CF4E1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отчет (ежегодно)</w:t>
            </w:r>
          </w:p>
          <w:p w14:paraId="7A09EC55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60DE76ED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до 31,2 процента к 2030 году доля граждан старшего поколения, вовлеченных в мероприятия региональную программу «Активное долголетие Брянской области» на 2026-2030 годы», в общем числе граждан старшего поколения</w:t>
            </w:r>
          </w:p>
        </w:tc>
      </w:tr>
      <w:tr w14:paraId="2C19F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3F48A36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17.</w:t>
            </w:r>
          </w:p>
        </w:tc>
        <w:tc>
          <w:tcPr>
            <w:tcW w:w="3546" w:type="dxa"/>
          </w:tcPr>
          <w:p w14:paraId="5847C59F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Проведение в Брянской области 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информационно-коммуникационной кампании, направленной на повышение информированности граждан старшего поколения о проводимых мероприятиях в рамках региональной программы «Активное долголетие в Брянской области» на 2026-2030 годы, а также возможностях участия в них граждан старшего поколения</w:t>
            </w:r>
          </w:p>
        </w:tc>
        <w:tc>
          <w:tcPr>
            <w:tcW w:w="1526" w:type="dxa"/>
          </w:tcPr>
          <w:p w14:paraId="6980F53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2026</w:t>
            </w:r>
          </w:p>
          <w:p w14:paraId="501D8300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5E7C87FF">
            <w:pPr>
              <w:contextualSpacing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39FB9C7E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4D6D6F66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4222" w:type="dxa"/>
          </w:tcPr>
          <w:p w14:paraId="745CDBB7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обеспечено повышение информированности граждан старшего поколения о проводимых мероприятиях  в рамках региональной программы «Активное долголетие в Брянской области» на 2026-2030 годы</w:t>
            </w:r>
          </w:p>
          <w:p w14:paraId="3ED27510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</w:tr>
      <w:tr w14:paraId="3229D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7F08F5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18.</w:t>
            </w:r>
          </w:p>
        </w:tc>
        <w:tc>
          <w:tcPr>
            <w:tcW w:w="3546" w:type="dxa"/>
          </w:tcPr>
          <w:p w14:paraId="2BA41203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Проведение мероприятий в</w:t>
            </w:r>
          </w:p>
          <w:p w14:paraId="77AD7F5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учреждениях культуры</w:t>
            </w:r>
          </w:p>
          <w:p w14:paraId="4F525AF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Красногорского района для граждан</w:t>
            </w:r>
          </w:p>
          <w:p w14:paraId="72B863B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старшего поколения</w:t>
            </w:r>
          </w:p>
        </w:tc>
        <w:tc>
          <w:tcPr>
            <w:tcW w:w="1526" w:type="dxa"/>
          </w:tcPr>
          <w:p w14:paraId="2FAECA8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5C1347C8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44740D9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учреждения культуры</w:t>
            </w:r>
          </w:p>
          <w:p w14:paraId="57DFE8B1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6A13FBE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информационно - аналитический отчет в департамент </w:t>
            </w: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социальной политики и занятости населения Брянской области</w:t>
            </w:r>
          </w:p>
        </w:tc>
        <w:tc>
          <w:tcPr>
            <w:tcW w:w="4222" w:type="dxa"/>
          </w:tcPr>
          <w:p w14:paraId="60EEF67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проведено 60 мероприятий.</w:t>
            </w:r>
          </w:p>
          <w:p w14:paraId="6B1790A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Оптимизировать жизнедеятельность</w:t>
            </w:r>
          </w:p>
          <w:p w14:paraId="53CB0D23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людей старшего поколения,</w:t>
            </w:r>
          </w:p>
          <w:p w14:paraId="4AB0AFD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стимулировать их</w:t>
            </w:r>
          </w:p>
          <w:p w14:paraId="33B6AC9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интеллектуальную и физическую активность, развивать творческие</w:t>
            </w:r>
          </w:p>
          <w:p w14:paraId="76CE4AA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способности.</w:t>
            </w:r>
          </w:p>
        </w:tc>
      </w:tr>
      <w:tr w14:paraId="2A5A4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9E372E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19.</w:t>
            </w:r>
          </w:p>
        </w:tc>
        <w:tc>
          <w:tcPr>
            <w:tcW w:w="3546" w:type="dxa"/>
          </w:tcPr>
          <w:p w14:paraId="10CCD5DF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Развитие образовательных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и просветительских программ в «университетах третьего возраста» для граждан старшего поколения, </w:t>
            </w:r>
            <w:sdt>
              <w:sdtPr>
                <w:tag w:val="goog_rdk_45"/>
                <w:id w:val="2086721410"/>
              </w:sdtPr>
              <w:sdtContent>
                <w:r>
                  <w:rPr>
                    <w:rFonts w:ascii="Times New Roman" w:hAnsi="Times New Roman" w:eastAsia="Times New Roman" w:cs="Times New Roman"/>
                    <w:bCs/>
                    <w:highlight w:val="white"/>
                  </w:rPr>
                  <w:t>в том числе на базе организаций социального обслуживания</w:t>
                </w:r>
              </w:sdtContent>
            </w:sdt>
          </w:p>
        </w:tc>
        <w:tc>
          <w:tcPr>
            <w:tcW w:w="1526" w:type="dxa"/>
          </w:tcPr>
          <w:p w14:paraId="16446EEE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01FDB8C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  <w:p w14:paraId="123D4EE9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1945" w:type="dxa"/>
          </w:tcPr>
          <w:p w14:paraId="4B2A247F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(ежеквартально)</w:t>
            </w:r>
          </w:p>
          <w:p w14:paraId="7E76511B">
            <w:pPr>
              <w:jc w:val="both"/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</w:p>
        </w:tc>
        <w:tc>
          <w:tcPr>
            <w:tcW w:w="4222" w:type="dxa"/>
          </w:tcPr>
          <w:p w14:paraId="164B2DA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повышен уровень доступности образовательных и просветительских программ в «университетах третьего возраста» для граждан старшего поколения</w:t>
            </w:r>
          </w:p>
        </w:tc>
      </w:tr>
      <w:tr w14:paraId="67BC8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8333E7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20.</w:t>
            </w:r>
          </w:p>
        </w:tc>
        <w:tc>
          <w:tcPr>
            <w:tcW w:w="3546" w:type="dxa"/>
          </w:tcPr>
          <w:p w14:paraId="0AD87F6E">
            <w:pPr>
              <w:rPr>
                <w:rFonts w:ascii="Times New Roman" w:hAnsi="Times New Roman" w:eastAsia="Times New Roman" w:cs="Times New Roman"/>
                <w:b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Проведение физкультурных и массовых спортивных мероприятий с участием граждан старшего поколения, в том числе мероприятий Всероссийского физкультурно-спортивного комплекса «Готов к труду и обороне» (ГТО),по адаптивной физической культуре и адаптивному спорту</w:t>
            </w:r>
          </w:p>
        </w:tc>
        <w:tc>
          <w:tcPr>
            <w:tcW w:w="1526" w:type="dxa"/>
          </w:tcPr>
          <w:p w14:paraId="26EBCD5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5397E35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ФОК «Беседь»</w:t>
            </w:r>
          </w:p>
        </w:tc>
        <w:tc>
          <w:tcPr>
            <w:tcW w:w="1945" w:type="dxa"/>
          </w:tcPr>
          <w:p w14:paraId="3EC3EE7B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0F046B93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6BCE624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проведено 1 физкультурно-массовое спортивное мероприятие с участием граждан старшего поколения, в том числе мероприятия Всероссийского физкультурно-спортивного комплекса «Готов к труду и обороне» (ГТО).</w:t>
            </w:r>
          </w:p>
          <w:p w14:paraId="40B5FD6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Участие не менее 16</w:t>
            </w:r>
          </w:p>
        </w:tc>
      </w:tr>
      <w:tr w14:paraId="1F296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17" w:type="dxa"/>
          </w:tcPr>
          <w:p w14:paraId="581138DE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21.</w:t>
            </w:r>
          </w:p>
        </w:tc>
        <w:tc>
          <w:tcPr>
            <w:tcW w:w="3546" w:type="dxa"/>
          </w:tcPr>
          <w:p w14:paraId="341AA9A6">
            <w:pPr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Обеспечение доступности занятий физической культурой и массовым спортом гражданам старшего поколения на объектах спортивной инфраструктуры</w:t>
            </w:r>
          </w:p>
        </w:tc>
        <w:tc>
          <w:tcPr>
            <w:tcW w:w="1526" w:type="dxa"/>
          </w:tcPr>
          <w:p w14:paraId="2E43604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0A701B3B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отдел культуры, спорта и молодежной политики администрации района, ФОК «Беседь»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 </w:t>
            </w:r>
          </w:p>
        </w:tc>
        <w:tc>
          <w:tcPr>
            <w:tcW w:w="1945" w:type="dxa"/>
          </w:tcPr>
          <w:p w14:paraId="70E64CA2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312F72E9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52E4361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увеличена до 35 процентов к 2030 году доля граждан в возрасте от 55 лет (женщины) и от 60 лет (мужчины)</w:t>
            </w:r>
          </w:p>
          <w:p w14:paraId="7239AFB3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до 79 лет включительно,</w:t>
            </w:r>
          </w:p>
          <w:p w14:paraId="4B5A824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систематически занимающихся</w:t>
            </w:r>
          </w:p>
          <w:p w14:paraId="03B0579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физической культурой и спортом, в общей численности граждан указанной возрастной</w:t>
            </w:r>
          </w:p>
          <w:p w14:paraId="7467CAED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категории</w:t>
            </w:r>
          </w:p>
        </w:tc>
      </w:tr>
      <w:tr w14:paraId="3F277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17" w:type="dxa"/>
          </w:tcPr>
          <w:p w14:paraId="7904FF0F">
            <w:p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22.</w:t>
            </w:r>
          </w:p>
        </w:tc>
        <w:tc>
          <w:tcPr>
            <w:tcW w:w="3546" w:type="dxa"/>
          </w:tcPr>
          <w:p w14:paraId="3FF314AE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Организация и проведение Спартакиады пенсионеров России, в том числе муниципальных и регионального этапа</w:t>
            </w:r>
          </w:p>
          <w:p w14:paraId="59366EFF">
            <w:pPr>
              <w:jc w:val="both"/>
              <w:rPr>
                <w:rFonts w:ascii="Times New Roman" w:hAnsi="Times New Roman" w:eastAsia="Times New Roman" w:cs="Times New Roman"/>
                <w:b/>
                <w:iCs/>
                <w:highlight w:val="white"/>
              </w:rPr>
            </w:pPr>
          </w:p>
          <w:p w14:paraId="195901C6">
            <w:pPr>
              <w:jc w:val="both"/>
              <w:rPr>
                <w:rFonts w:ascii="Times New Roman" w:hAnsi="Times New Roman" w:eastAsia="Times New Roman" w:cs="Times New Roman"/>
                <w:iCs/>
                <w:highlight w:val="white"/>
              </w:rPr>
            </w:pPr>
          </w:p>
        </w:tc>
        <w:tc>
          <w:tcPr>
            <w:tcW w:w="1526" w:type="dxa"/>
          </w:tcPr>
          <w:p w14:paraId="227D1A2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27BD46F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отдел культуры, спорта и молодежной политики администрации района, ФОК «Беседь»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 </w:t>
            </w:r>
          </w:p>
        </w:tc>
        <w:tc>
          <w:tcPr>
            <w:tcW w:w="1945" w:type="dxa"/>
          </w:tcPr>
          <w:p w14:paraId="362F8A26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 -аналитический отчет в департамент социальной политики и занятости населения Брянской области</w:t>
            </w:r>
          </w:p>
          <w:p w14:paraId="5230121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0DB9581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увеличена до 35 процентов к 2030 году доля граждан в возрасте от 55 лет (женщины) и от 60 лет (мужчины)</w:t>
            </w:r>
          </w:p>
          <w:p w14:paraId="08E6AED0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до 79 лет включительно,</w:t>
            </w:r>
          </w:p>
          <w:p w14:paraId="2335A95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систематически занимающихся</w:t>
            </w:r>
          </w:p>
          <w:p w14:paraId="53AC943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физической культурой и спортом, в общей численности граждан указанной возрастной</w:t>
            </w:r>
          </w:p>
          <w:p w14:paraId="7EB4C30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категории</w:t>
            </w:r>
          </w:p>
        </w:tc>
      </w:tr>
      <w:tr w14:paraId="5BAC9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A4D55A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23.</w:t>
            </w:r>
          </w:p>
        </w:tc>
        <w:tc>
          <w:tcPr>
            <w:tcW w:w="3546" w:type="dxa"/>
          </w:tcPr>
          <w:p w14:paraId="694F6917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Создание условий для реализации гражданами старшего поколения творческого потенциала, в том числе создание площадок для общения и отдыха лиц разных возрастов с учетом их интересов и потребностей</w:t>
            </w:r>
          </w:p>
        </w:tc>
        <w:tc>
          <w:tcPr>
            <w:tcW w:w="1526" w:type="dxa"/>
          </w:tcPr>
          <w:p w14:paraId="3FC70AF2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4CAE03C7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2657" w:type="dxa"/>
          </w:tcPr>
          <w:p w14:paraId="3585E760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ДК,  библиотеки района</w:t>
            </w:r>
          </w:p>
        </w:tc>
        <w:tc>
          <w:tcPr>
            <w:tcW w:w="1945" w:type="dxa"/>
          </w:tcPr>
          <w:p w14:paraId="5832F906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3C846B1A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1FC0BCB7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увеличено до 10 процентов к 2030 году число посещений организаций культуры по отношению к 2023 году</w:t>
            </w:r>
          </w:p>
          <w:p w14:paraId="2DD779D9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</w:tr>
      <w:tr w14:paraId="303F8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713" w:type="dxa"/>
            <w:gridSpan w:val="6"/>
            <w:vAlign w:val="center"/>
          </w:tcPr>
          <w:p w14:paraId="4604E962">
            <w:pPr>
              <w:numPr>
                <w:ilvl w:val="0"/>
                <w:numId w:val="1"/>
              </w:num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  <w:t>Меры, направленные на развитие социальных услуг для граждан старшего поколения</w:t>
            </w:r>
          </w:p>
        </w:tc>
      </w:tr>
      <w:tr w14:paraId="03BB1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72B4562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24.</w:t>
            </w:r>
          </w:p>
        </w:tc>
        <w:tc>
          <w:tcPr>
            <w:tcW w:w="3546" w:type="dxa"/>
          </w:tcPr>
          <w:p w14:paraId="5507FC1F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Обеспечение граждан старшего поколения доступными и качественными социальными услугами, создающими благоприятные условия для продления здоровой жизни</w:t>
            </w:r>
          </w:p>
        </w:tc>
        <w:tc>
          <w:tcPr>
            <w:tcW w:w="1526" w:type="dxa"/>
          </w:tcPr>
          <w:p w14:paraId="0DF2DDB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608BB67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10D5556A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государственная программа</w:t>
            </w:r>
          </w:p>
          <w:p w14:paraId="3911130A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54EF968A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717E4794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увеличена до 100 процентов к 2030 году доля граждан </w:t>
            </w:r>
            <w:r>
              <w:rPr>
                <w:rFonts w:ascii="Times New Roman" w:hAnsi="Times New Roman" w:eastAsia="Times New Roman" w:cs="Times New Roman"/>
                <w:bCs/>
                <w:spacing w:val="-6"/>
                <w:highlight w:val="white"/>
              </w:rPr>
              <w:t>старшего поколения, получивших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 социальное обслуживание, в общем числе граждан старшего поколения, признанных нуждающимися в социальном обслуживании</w:t>
            </w:r>
          </w:p>
        </w:tc>
      </w:tr>
      <w:tr w14:paraId="66325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6CD331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25.</w:t>
            </w:r>
          </w:p>
        </w:tc>
        <w:tc>
          <w:tcPr>
            <w:tcW w:w="3546" w:type="dxa"/>
          </w:tcPr>
          <w:p w14:paraId="78456D04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Обеспечение максимально долгого пребывания граждан старшего поколения со сниженной способностью к самообслуживанию в домашних условиях через развитие и внедрение стационарозамещающих технологий и услуг, новых технологий социального обслуживания на дому и повышения доступности центров дневного пребывания</w:t>
            </w:r>
          </w:p>
        </w:tc>
        <w:tc>
          <w:tcPr>
            <w:tcW w:w="1526" w:type="dxa"/>
          </w:tcPr>
          <w:p w14:paraId="7FEBEF8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4E6FCB54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7055278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3A30FA29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отчет </w:t>
            </w:r>
          </w:p>
        </w:tc>
        <w:tc>
          <w:tcPr>
            <w:tcW w:w="4222" w:type="dxa"/>
          </w:tcPr>
          <w:p w14:paraId="3F4F877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увеличен охват граждан старшего поколения, получающих социальные услуги в форме социального обслуживания на дому и полустационарной форме социального обслуживания, а также в сочетании со стационарозамещающими технологиями</w:t>
            </w:r>
          </w:p>
        </w:tc>
      </w:tr>
      <w:tr w14:paraId="5DA2E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BB0E10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26</w:t>
            </w:r>
          </w:p>
        </w:tc>
        <w:tc>
          <w:tcPr>
            <w:tcW w:w="3546" w:type="dxa"/>
          </w:tcPr>
          <w:p w14:paraId="2E5D1E60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Организация поддержки родственников и опекунов, ухаживающих за пожилыми людьми, на базе организаций социального обслуживания и некоммерческих организаций</w:t>
            </w:r>
          </w:p>
        </w:tc>
        <w:tc>
          <w:tcPr>
            <w:tcW w:w="1526" w:type="dxa"/>
          </w:tcPr>
          <w:p w14:paraId="4C333D88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2198F26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7ED4B256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отчет </w:t>
            </w:r>
          </w:p>
          <w:p w14:paraId="00D8E044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332CF43B">
            <w:pP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созданы условия и возможности в получении  родственниками и опекунами на базе организаций социального обслуживания и некоммерческих организаций  знаний об основах заботы, ухода за пожилыми людьми</w:t>
            </w:r>
          </w:p>
        </w:tc>
      </w:tr>
      <w:tr w14:paraId="63435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7779B2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27.</w:t>
            </w:r>
          </w:p>
        </w:tc>
        <w:tc>
          <w:tcPr>
            <w:tcW w:w="3546" w:type="dxa"/>
          </w:tcPr>
          <w:p w14:paraId="7F39070A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Обеспечение доступа волонтеров в организации социального обслуживания, предоставляющих социальные услуги в стационарной форме социального обслуживания</w:t>
            </w:r>
          </w:p>
        </w:tc>
        <w:tc>
          <w:tcPr>
            <w:tcW w:w="1526" w:type="dxa"/>
          </w:tcPr>
          <w:p w14:paraId="52DEA2B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7971887E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19E980BF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ГБУ «КЦСОН Красногорского района» </w:t>
            </w:r>
          </w:p>
        </w:tc>
        <w:tc>
          <w:tcPr>
            <w:tcW w:w="1945" w:type="dxa"/>
          </w:tcPr>
          <w:p w14:paraId="1E7F0C50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риказ</w:t>
            </w:r>
          </w:p>
          <w:p w14:paraId="75117461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4A4A8E67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2DCA1D87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на 2 человека численность волонтеров, которые посещают стационарные организации социального обслуживания</w:t>
            </w:r>
          </w:p>
        </w:tc>
      </w:tr>
      <w:tr w14:paraId="2F741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713" w:type="dxa"/>
            <w:gridSpan w:val="6"/>
            <w:vAlign w:val="center"/>
          </w:tcPr>
          <w:p w14:paraId="36A95E07">
            <w:pPr>
              <w:keepNext/>
              <w:ind w:left="862" w:hanging="828"/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  <w:t>. Меры, направленные на повышение финансовой обеспеченности граждан старшего поколения, создание условий для их занятости</w:t>
            </w:r>
          </w:p>
        </w:tc>
      </w:tr>
      <w:tr w14:paraId="69587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2EFF5E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28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.</w:t>
            </w:r>
          </w:p>
        </w:tc>
        <w:tc>
          <w:tcPr>
            <w:tcW w:w="3546" w:type="dxa"/>
          </w:tcPr>
          <w:p w14:paraId="266A5665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Реализация мероприятий по профессиональному обучению и дополнительному профессиональному образованию граждан в возрасте 50 лет и старше, а также граждан предпенсионного возраста</w:t>
            </w:r>
          </w:p>
        </w:tc>
        <w:tc>
          <w:tcPr>
            <w:tcW w:w="1526" w:type="dxa"/>
          </w:tcPr>
          <w:p w14:paraId="2A55DF3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72D4B9A6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33A210DB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центр занятости населения</w:t>
            </w:r>
          </w:p>
          <w:p w14:paraId="1BDD12D0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41177013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64C62B5C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2CC50F7F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(ежегодно)</w:t>
            </w:r>
          </w:p>
          <w:p w14:paraId="1D917222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5165516C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763BE8F8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получена дополнительная государственная поддержка по профессиональному обучению и дополнительному профессиональному образованию 1 гражданина в возрасте 50 лет и старше, а также гражданами предпенсионного возраста</w:t>
            </w:r>
          </w:p>
        </w:tc>
      </w:tr>
      <w:tr w14:paraId="15377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713" w:type="dxa"/>
            <w:gridSpan w:val="6"/>
            <w:vAlign w:val="center"/>
          </w:tcPr>
          <w:p w14:paraId="655DBCE8">
            <w:pPr>
              <w:numPr>
                <w:ilvl w:val="0"/>
                <w:numId w:val="3"/>
              </w:numPr>
              <w:ind w:left="862" w:hanging="828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</w:rPr>
              <w:t>Меры, направленные на развитие инфраструктуры для комфортной и безопасной жизни граждан старшего поколения</w:t>
            </w:r>
          </w:p>
        </w:tc>
      </w:tr>
      <w:tr w14:paraId="6F192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4D4D1E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29.</w:t>
            </w:r>
          </w:p>
        </w:tc>
        <w:tc>
          <w:tcPr>
            <w:tcW w:w="3546" w:type="dxa"/>
          </w:tcPr>
          <w:p w14:paraId="2B5C8D00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Приспособление  приоритетных социально-значимых  объектов для использования гражданами старшего поколения, инвалидами  включая установку перил, поручней, козырьков над подъездами, пандусов, создание понятной навигации в населенных пунктах и в зданиях приоритетных социально- значимых объектов</w:t>
            </w:r>
          </w:p>
        </w:tc>
        <w:tc>
          <w:tcPr>
            <w:tcW w:w="1526" w:type="dxa"/>
          </w:tcPr>
          <w:p w14:paraId="659F21C1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58DE0BC0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ГБУЗ «Красногорская ЦРБ», отдел культур, спорта и молодежной политики администрации района, строительный отдел администрации района, социальные органы района</w:t>
            </w:r>
          </w:p>
          <w:p w14:paraId="10D29F78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4D036925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отчет 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>(ежегодно)</w:t>
            </w:r>
          </w:p>
          <w:p w14:paraId="3257A4F0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7718608C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4222" w:type="dxa"/>
          </w:tcPr>
          <w:p w14:paraId="22ADA293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доля приоритетных социально-значимых объектов приспособленных для граждан старшего поколения и инвалидов к 2030 году составляет 75%</w:t>
            </w:r>
          </w:p>
          <w:p w14:paraId="6FC2BC45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</w:tr>
      <w:tr w14:paraId="078E8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7A27C1">
            <w:pPr>
              <w:ind w:left="862" w:hanging="828"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30.</w:t>
            </w:r>
          </w:p>
        </w:tc>
        <w:tc>
          <w:tcPr>
            <w:tcW w:w="3546" w:type="dxa"/>
          </w:tcPr>
          <w:p w14:paraId="1DC49DB1">
            <w:pPr>
              <w:ind w:firstLine="34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 xml:space="preserve">Благоустройство общественных </w:t>
            </w:r>
            <w:r>
              <w:rPr>
                <w:rFonts w:ascii="Times New Roman" w:hAnsi="Times New Roman" w:eastAsia="Times New Roman" w:cs="Times New Roman"/>
                <w:bCs/>
              </w:rPr>
              <w:t>пространств</w:t>
            </w:r>
          </w:p>
        </w:tc>
        <w:tc>
          <w:tcPr>
            <w:tcW w:w="1526" w:type="dxa"/>
          </w:tcPr>
          <w:p w14:paraId="3A1B5DDE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1087202B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0081A9A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строительный отдел  администрации района</w:t>
            </w:r>
          </w:p>
          <w:p w14:paraId="1DF2F8B9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  <w:p w14:paraId="1029A81B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39EE93D6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770CB01C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31D90CAA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обеспечено благоустройство 1 единицы общественных территорий</w:t>
            </w:r>
          </w:p>
        </w:tc>
      </w:tr>
      <w:tr w14:paraId="2059E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D84954">
            <w:pPr>
              <w:ind w:left="862" w:hanging="828"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31</w:t>
            </w: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.</w:t>
            </w:r>
          </w:p>
        </w:tc>
        <w:tc>
          <w:tcPr>
            <w:tcW w:w="3546" w:type="dxa"/>
          </w:tcPr>
          <w:p w14:paraId="68E674B5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Повышение транспортной доступности для граждан старшего поколения, проживающих в отдаленных районах, сельских населенных пунктах</w:t>
            </w:r>
          </w:p>
          <w:p w14:paraId="33738D2C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1526" w:type="dxa"/>
          </w:tcPr>
          <w:p w14:paraId="1A76C1DC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0BAC0E81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478E5009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highlight w:val="white"/>
              </w:rPr>
              <w:t>экономический отдел администрации района</w:t>
            </w:r>
          </w:p>
        </w:tc>
        <w:tc>
          <w:tcPr>
            <w:tcW w:w="1945" w:type="dxa"/>
          </w:tcPr>
          <w:p w14:paraId="291AC107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3E471FFB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76531505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проведены мероприятия по повышению транспортной доступности для граждан старшего поколения, проживающих в отдаленных районах, сельских населенных пунктах</w:t>
            </w:r>
          </w:p>
        </w:tc>
      </w:tr>
      <w:tr w14:paraId="7F76A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DF6898">
            <w:pPr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32.</w:t>
            </w:r>
          </w:p>
        </w:tc>
        <w:tc>
          <w:tcPr>
            <w:tcW w:w="3546" w:type="dxa"/>
          </w:tcPr>
          <w:p w14:paraId="2D5D8D1F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Развитие транспортной инфраструктуры на сельских территориях, в том числе строительство, реконструкция, капитальный ремонт и ремонт автомобильных дорог</w:t>
            </w:r>
          </w:p>
          <w:p w14:paraId="54C7AA4B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  <w:p w14:paraId="0D252827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1526" w:type="dxa"/>
          </w:tcPr>
          <w:p w14:paraId="537CE75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  <w:p w14:paraId="012992B6"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2657" w:type="dxa"/>
          </w:tcPr>
          <w:p w14:paraId="4E3176F4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строительный отдел администрации района</w:t>
            </w:r>
          </w:p>
          <w:p w14:paraId="646B10B3">
            <w:pPr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  <w:tc>
          <w:tcPr>
            <w:tcW w:w="1945" w:type="dxa"/>
          </w:tcPr>
          <w:p w14:paraId="597177FE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09F7AE6C">
            <w:pPr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40EC8AC2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увеличена к 2030 году доля соответствующих нормативным требованиям автомобильных дорог межмуниципального значения - до 60 процентов</w:t>
            </w:r>
          </w:p>
        </w:tc>
      </w:tr>
      <w:tr w14:paraId="2518D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948111">
            <w:pPr>
              <w:ind w:left="862" w:hanging="828"/>
              <w:jc w:val="center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33.</w:t>
            </w:r>
          </w:p>
        </w:tc>
        <w:tc>
          <w:tcPr>
            <w:tcW w:w="3546" w:type="dxa"/>
          </w:tcPr>
          <w:p w14:paraId="31018AE5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Организация и проведение в муниципальном  районе  сельскохозяйственных ярмарок выходного дня</w:t>
            </w:r>
          </w:p>
        </w:tc>
        <w:tc>
          <w:tcPr>
            <w:tcW w:w="1526" w:type="dxa"/>
          </w:tcPr>
          <w:p w14:paraId="0AEE4B34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2026</w:t>
            </w:r>
          </w:p>
        </w:tc>
        <w:tc>
          <w:tcPr>
            <w:tcW w:w="2657" w:type="dxa"/>
          </w:tcPr>
          <w:p w14:paraId="609B3026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экономический отдел администрации района, районное управление сельского хозяйства</w:t>
            </w:r>
          </w:p>
          <w:p w14:paraId="5FD79D6F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</w:p>
        </w:tc>
        <w:tc>
          <w:tcPr>
            <w:tcW w:w="1945" w:type="dxa"/>
          </w:tcPr>
          <w:p w14:paraId="25B934D7">
            <w:pPr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информационно- аналитический отчет в департамент социальной политики и занятости населения Брянской области</w:t>
            </w:r>
          </w:p>
          <w:p w14:paraId="5FF12FF5">
            <w:pPr>
              <w:jc w:val="both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(ежегодно)</w:t>
            </w:r>
          </w:p>
        </w:tc>
        <w:tc>
          <w:tcPr>
            <w:tcW w:w="4222" w:type="dxa"/>
          </w:tcPr>
          <w:p w14:paraId="31A281F9">
            <w:pPr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white"/>
              </w:rPr>
              <w:t>обеспечение населения района картофелем и плодоовощной продукцией по доступным ценам</w:t>
            </w:r>
          </w:p>
        </w:tc>
      </w:tr>
    </w:tbl>
    <w:p w14:paraId="20F1754E">
      <w:pPr>
        <w:rPr>
          <w:rFonts w:ascii="Times New Roman" w:hAnsi="Times New Roman" w:eastAsia="Times New Roman" w:cs="Times New Roman"/>
          <w:szCs w:val="20"/>
        </w:rPr>
      </w:pPr>
    </w:p>
    <w:p w14:paraId="11783FB5">
      <w:pPr>
        <w:jc w:val="both"/>
        <w:rPr>
          <w:rFonts w:ascii="Times New Roman" w:hAnsi="Times New Roman" w:cs="Times New Roman"/>
        </w:rPr>
      </w:pPr>
    </w:p>
    <w:p w14:paraId="01414E82">
      <w:pPr>
        <w:jc w:val="both"/>
        <w:rPr>
          <w:rFonts w:ascii="Times New Roman" w:hAnsi="Times New Roman" w:cs="Times New Roman"/>
        </w:rPr>
      </w:pPr>
    </w:p>
    <w:sectPr>
      <w:pgSz w:w="16840" w:h="11900" w:orient="landscape"/>
      <w:pgMar w:top="1582" w:right="1276" w:bottom="833" w:left="1276" w:header="845" w:footer="84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85C84"/>
    <w:multiLevelType w:val="multilevel"/>
    <w:tmpl w:val="05385C84"/>
    <w:lvl w:ilvl="0" w:tentative="0">
      <w:start w:val="1"/>
      <w:numFmt w:val="decimal"/>
      <w:isLgl/>
      <w:lvlText w:val="%1."/>
      <w:lvlJc w:val="left"/>
      <w:pPr>
        <w:tabs>
          <w:tab w:val="left" w:pos="425"/>
        </w:tabs>
        <w:ind w:left="1287" w:hanging="720"/>
      </w:pPr>
    </w:lvl>
    <w:lvl w:ilvl="1" w:tentative="0">
      <w:start w:val="1"/>
      <w:numFmt w:val="lowerLetter"/>
      <w:isLgl/>
      <w:lvlText w:val="%2."/>
      <w:lvlJc w:val="left"/>
      <w:pPr>
        <w:tabs>
          <w:tab w:val="left" w:pos="0"/>
        </w:tabs>
        <w:ind w:left="1157" w:hanging="360"/>
      </w:pPr>
    </w:lvl>
    <w:lvl w:ilvl="2" w:tentative="0">
      <w:start w:val="1"/>
      <w:numFmt w:val="lowerRoman"/>
      <w:isLgl/>
      <w:lvlText w:val="%3."/>
      <w:lvlJc w:val="right"/>
      <w:pPr>
        <w:tabs>
          <w:tab w:val="left" w:pos="0"/>
        </w:tabs>
        <w:ind w:left="1877" w:hanging="180"/>
      </w:pPr>
    </w:lvl>
    <w:lvl w:ilvl="3" w:tentative="0">
      <w:start w:val="1"/>
      <w:numFmt w:val="decimal"/>
      <w:isLgl/>
      <w:lvlText w:val="%4."/>
      <w:lvlJc w:val="left"/>
      <w:pPr>
        <w:tabs>
          <w:tab w:val="left" w:pos="0"/>
        </w:tabs>
        <w:ind w:left="2597" w:hanging="360"/>
      </w:pPr>
    </w:lvl>
    <w:lvl w:ilvl="4" w:tentative="0">
      <w:start w:val="1"/>
      <w:numFmt w:val="lowerLetter"/>
      <w:isLgl/>
      <w:lvlText w:val="%5."/>
      <w:lvlJc w:val="left"/>
      <w:pPr>
        <w:tabs>
          <w:tab w:val="left" w:pos="0"/>
        </w:tabs>
        <w:ind w:left="3317" w:hanging="360"/>
      </w:pPr>
    </w:lvl>
    <w:lvl w:ilvl="5" w:tentative="0">
      <w:start w:val="1"/>
      <w:numFmt w:val="lowerRoman"/>
      <w:isLgl/>
      <w:lvlText w:val="%6."/>
      <w:lvlJc w:val="right"/>
      <w:pPr>
        <w:tabs>
          <w:tab w:val="left" w:pos="0"/>
        </w:tabs>
        <w:ind w:left="4037" w:hanging="180"/>
      </w:pPr>
    </w:lvl>
    <w:lvl w:ilvl="6" w:tentative="0">
      <w:start w:val="1"/>
      <w:numFmt w:val="decimal"/>
      <w:isLgl/>
      <w:lvlText w:val="%7."/>
      <w:lvlJc w:val="left"/>
      <w:pPr>
        <w:tabs>
          <w:tab w:val="left" w:pos="0"/>
        </w:tabs>
        <w:ind w:left="4757" w:hanging="360"/>
      </w:pPr>
    </w:lvl>
    <w:lvl w:ilvl="7" w:tentative="0">
      <w:start w:val="1"/>
      <w:numFmt w:val="lowerLetter"/>
      <w:isLgl/>
      <w:lvlText w:val="%8."/>
      <w:lvlJc w:val="left"/>
      <w:pPr>
        <w:tabs>
          <w:tab w:val="left" w:pos="0"/>
        </w:tabs>
        <w:ind w:left="5477" w:hanging="360"/>
      </w:pPr>
    </w:lvl>
    <w:lvl w:ilvl="8" w:tentative="0">
      <w:start w:val="1"/>
      <w:numFmt w:val="lowerRoman"/>
      <w:isLgl/>
      <w:lvlText w:val="%9."/>
      <w:lvlJc w:val="right"/>
      <w:pPr>
        <w:tabs>
          <w:tab w:val="left" w:pos="0"/>
        </w:tabs>
        <w:ind w:left="6197" w:hanging="180"/>
      </w:pPr>
    </w:lvl>
  </w:abstractNum>
  <w:abstractNum w:abstractNumId="1">
    <w:nsid w:val="2FCE3075"/>
    <w:multiLevelType w:val="multilevel"/>
    <w:tmpl w:val="2FCE3075"/>
    <w:lvl w:ilvl="0" w:tentative="0">
      <w:start w:val="1"/>
      <w:numFmt w:val="upperRoman"/>
      <w:isLgl/>
      <w:lvlText w:val="%1."/>
      <w:lvlJc w:val="left"/>
      <w:pPr>
        <w:tabs>
          <w:tab w:val="left" w:pos="0"/>
        </w:tabs>
        <w:ind w:left="1080" w:hanging="720"/>
      </w:pPr>
    </w:lvl>
    <w:lvl w:ilvl="1" w:tentative="0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6C61264F"/>
    <w:multiLevelType w:val="multilevel"/>
    <w:tmpl w:val="6C61264F"/>
    <w:lvl w:ilvl="0" w:tentative="0">
      <w:start w:val="6"/>
      <w:numFmt w:val="upperRoman"/>
      <w:isLgl/>
      <w:lvlText w:val="%1."/>
      <w:lvlJc w:val="left"/>
      <w:pPr>
        <w:tabs>
          <w:tab w:val="left" w:pos="0"/>
        </w:tabs>
        <w:ind w:left="1800" w:hanging="720"/>
      </w:pPr>
    </w:lvl>
    <w:lvl w:ilvl="1" w:tentative="0">
      <w:start w:val="1"/>
      <w:numFmt w:val="lowerLetter"/>
      <w:isLgl/>
      <w:lvlText w:val="%2."/>
      <w:lvlJc w:val="left"/>
      <w:pPr>
        <w:tabs>
          <w:tab w:val="left" w:pos="0"/>
        </w:tabs>
        <w:ind w:left="2160" w:hanging="360"/>
      </w:pPr>
    </w:lvl>
    <w:lvl w:ilvl="2" w:tentative="0">
      <w:start w:val="1"/>
      <w:numFmt w:val="lowerRoman"/>
      <w:isLgl/>
      <w:lvlText w:val="%3."/>
      <w:lvlJc w:val="right"/>
      <w:pPr>
        <w:tabs>
          <w:tab w:val="left" w:pos="0"/>
        </w:tabs>
        <w:ind w:left="2880" w:hanging="180"/>
      </w:pPr>
    </w:lvl>
    <w:lvl w:ilvl="3" w:tentative="0">
      <w:start w:val="1"/>
      <w:numFmt w:val="decimal"/>
      <w:isLgl/>
      <w:lvlText w:val="%4."/>
      <w:lvlJc w:val="left"/>
      <w:pPr>
        <w:tabs>
          <w:tab w:val="left" w:pos="0"/>
        </w:tabs>
        <w:ind w:left="3600" w:hanging="360"/>
      </w:pPr>
    </w:lvl>
    <w:lvl w:ilvl="4" w:tentative="0">
      <w:start w:val="1"/>
      <w:numFmt w:val="lowerLetter"/>
      <w:isLgl/>
      <w:lvlText w:val="%5."/>
      <w:lvlJc w:val="left"/>
      <w:pPr>
        <w:tabs>
          <w:tab w:val="left" w:pos="0"/>
        </w:tabs>
        <w:ind w:left="4320" w:hanging="360"/>
      </w:pPr>
    </w:lvl>
    <w:lvl w:ilvl="5" w:tentative="0">
      <w:start w:val="1"/>
      <w:numFmt w:val="lowerRoman"/>
      <w:isLgl/>
      <w:lvlText w:val="%6."/>
      <w:lvlJc w:val="right"/>
      <w:pPr>
        <w:tabs>
          <w:tab w:val="left" w:pos="0"/>
        </w:tabs>
        <w:ind w:left="5040" w:hanging="180"/>
      </w:pPr>
    </w:lvl>
    <w:lvl w:ilvl="6" w:tentative="0">
      <w:start w:val="1"/>
      <w:numFmt w:val="decimal"/>
      <w:isLgl/>
      <w:lvlText w:val="%7."/>
      <w:lvlJc w:val="left"/>
      <w:pPr>
        <w:tabs>
          <w:tab w:val="left" w:pos="0"/>
        </w:tabs>
        <w:ind w:left="5760" w:hanging="360"/>
      </w:pPr>
    </w:lvl>
    <w:lvl w:ilvl="7" w:tentative="0">
      <w:start w:val="1"/>
      <w:numFmt w:val="lowerLetter"/>
      <w:isLgl/>
      <w:lvlText w:val="%8."/>
      <w:lvlJc w:val="left"/>
      <w:pPr>
        <w:tabs>
          <w:tab w:val="left" w:pos="0"/>
        </w:tabs>
        <w:ind w:left="6480" w:hanging="360"/>
      </w:pPr>
    </w:lvl>
    <w:lvl w:ilvl="8" w:tentative="0">
      <w:start w:val="1"/>
      <w:numFmt w:val="lowerRoman"/>
      <w:isLgl/>
      <w:lvlText w:val="%9."/>
      <w:lvlJc w:val="right"/>
      <w:pPr>
        <w:tabs>
          <w:tab w:val="left" w:pos="0"/>
        </w:tabs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2C"/>
    <w:rsid w:val="000564A0"/>
    <w:rsid w:val="000A0B1B"/>
    <w:rsid w:val="00110FAD"/>
    <w:rsid w:val="0011129B"/>
    <w:rsid w:val="001233A5"/>
    <w:rsid w:val="0012424C"/>
    <w:rsid w:val="00176046"/>
    <w:rsid w:val="002643D9"/>
    <w:rsid w:val="00291E64"/>
    <w:rsid w:val="003335E1"/>
    <w:rsid w:val="0033382C"/>
    <w:rsid w:val="00334106"/>
    <w:rsid w:val="003B285F"/>
    <w:rsid w:val="00402DA0"/>
    <w:rsid w:val="00412823"/>
    <w:rsid w:val="00441D48"/>
    <w:rsid w:val="004626EF"/>
    <w:rsid w:val="004C3C01"/>
    <w:rsid w:val="00546711"/>
    <w:rsid w:val="00585D34"/>
    <w:rsid w:val="005E2618"/>
    <w:rsid w:val="00610590"/>
    <w:rsid w:val="00631ADB"/>
    <w:rsid w:val="006F0585"/>
    <w:rsid w:val="00770E9B"/>
    <w:rsid w:val="00784DE3"/>
    <w:rsid w:val="007F133B"/>
    <w:rsid w:val="00802612"/>
    <w:rsid w:val="0082609D"/>
    <w:rsid w:val="00832BBE"/>
    <w:rsid w:val="008C19B5"/>
    <w:rsid w:val="008C4963"/>
    <w:rsid w:val="00981B1E"/>
    <w:rsid w:val="009962DC"/>
    <w:rsid w:val="009C586D"/>
    <w:rsid w:val="009E337D"/>
    <w:rsid w:val="00A80332"/>
    <w:rsid w:val="00A82C04"/>
    <w:rsid w:val="00AA38A7"/>
    <w:rsid w:val="00AD0F73"/>
    <w:rsid w:val="00B12035"/>
    <w:rsid w:val="00B1214C"/>
    <w:rsid w:val="00B71C88"/>
    <w:rsid w:val="00B9099E"/>
    <w:rsid w:val="00BA470C"/>
    <w:rsid w:val="00BE4E98"/>
    <w:rsid w:val="00C20890"/>
    <w:rsid w:val="00C34918"/>
    <w:rsid w:val="00D537F5"/>
    <w:rsid w:val="00D81260"/>
    <w:rsid w:val="00DA2DD6"/>
    <w:rsid w:val="00DB639C"/>
    <w:rsid w:val="00DB68BC"/>
    <w:rsid w:val="00DC039F"/>
    <w:rsid w:val="00DC6501"/>
    <w:rsid w:val="00DF0B37"/>
    <w:rsid w:val="00E215A6"/>
    <w:rsid w:val="00E338DC"/>
    <w:rsid w:val="00E57E50"/>
    <w:rsid w:val="00ED0562"/>
    <w:rsid w:val="00F071F1"/>
    <w:rsid w:val="00F13170"/>
    <w:rsid w:val="00F85195"/>
    <w:rsid w:val="00FA1CEE"/>
    <w:rsid w:val="00FB10A0"/>
    <w:rsid w:val="26314686"/>
    <w:rsid w:val="3CC53BC2"/>
    <w:rsid w:val="443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Plain Text"/>
    <w:basedOn w:val="1"/>
    <w:link w:val="17"/>
    <w:qFormat/>
    <w:uiPriority w:val="0"/>
    <w:pPr>
      <w:widowControl/>
    </w:pPr>
    <w:rPr>
      <w:rFonts w:ascii="Courier New" w:hAnsi="Courier New" w:eastAsia="Times New Roman" w:cs="Courier New"/>
      <w:color w:val="auto"/>
      <w:sz w:val="20"/>
      <w:szCs w:val="20"/>
      <w:lang w:bidi="ar-SA"/>
    </w:rPr>
  </w:style>
  <w:style w:type="paragraph" w:styleId="6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link w:val="18"/>
    <w:qFormat/>
    <w:uiPriority w:val="0"/>
    <w:pPr>
      <w:widowControl/>
      <w:spacing w:after="120"/>
    </w:pPr>
    <w:rPr>
      <w:rFonts w:ascii="Times New Roman" w:hAnsi="Times New Roman" w:eastAsia="Times New Roman" w:cs="Times New Roman"/>
      <w:color w:val="auto"/>
      <w:lang w:eastAsia="ar-SA" w:bidi="ar-SA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Calibri" w:cs="Times New Roman"/>
      <w:color w:val="auto"/>
      <w:lang w:bidi="ar-SA"/>
    </w:rPr>
  </w:style>
  <w:style w:type="character" w:customStyle="1" w:styleId="9">
    <w:name w:val="Основной текст_"/>
    <w:basedOn w:val="2"/>
    <w:link w:val="10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10">
    <w:name w:val="Основной текст1"/>
    <w:basedOn w:val="1"/>
    <w:link w:val="9"/>
    <w:qFormat/>
    <w:uiPriority w:val="0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11">
    <w:name w:val="Основной текст (2)_"/>
    <w:basedOn w:val="2"/>
    <w:link w:val="12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12">
    <w:name w:val="Основной текст (2)"/>
    <w:basedOn w:val="1"/>
    <w:link w:val="11"/>
    <w:uiPriority w:val="0"/>
    <w:pPr>
      <w:spacing w:after="160"/>
    </w:pPr>
    <w:rPr>
      <w:rFonts w:ascii="Times New Roman" w:hAnsi="Times New Roman" w:eastAsia="Times New Roman" w:cs="Times New Roman"/>
    </w:rPr>
  </w:style>
  <w:style w:type="character" w:customStyle="1" w:styleId="13">
    <w:name w:val="Другое_"/>
    <w:basedOn w:val="2"/>
    <w:link w:val="14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14">
    <w:name w:val="Другое"/>
    <w:basedOn w:val="1"/>
    <w:link w:val="13"/>
    <w:qFormat/>
    <w:uiPriority w:val="0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15">
    <w:name w:val="List Paragraph"/>
    <w:basedOn w:val="1"/>
    <w:link w:val="16"/>
    <w:qFormat/>
    <w:uiPriority w:val="34"/>
    <w:pPr>
      <w:widowControl/>
      <w:ind w:left="708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character" w:customStyle="1" w:styleId="16">
    <w:name w:val="Абзац списка Знак"/>
    <w:basedOn w:val="2"/>
    <w:link w:val="15"/>
    <w:qFormat/>
    <w:uiPriority w:val="34"/>
    <w:rPr>
      <w:rFonts w:ascii="Times New Roman" w:hAnsi="Times New Roman" w:eastAsia="Times New Roman" w:cs="Times New Roman"/>
      <w:sz w:val="20"/>
      <w:szCs w:val="20"/>
      <w:lang w:bidi="ar-SA"/>
    </w:rPr>
  </w:style>
  <w:style w:type="character" w:customStyle="1" w:styleId="17">
    <w:name w:val="Текст Знак"/>
    <w:basedOn w:val="2"/>
    <w:link w:val="5"/>
    <w:qFormat/>
    <w:uiPriority w:val="0"/>
    <w:rPr>
      <w:rFonts w:ascii="Courier New" w:hAnsi="Courier New" w:eastAsia="Times New Roman" w:cs="Courier New"/>
      <w:sz w:val="20"/>
      <w:szCs w:val="20"/>
      <w:lang w:bidi="ar-SA"/>
    </w:rPr>
  </w:style>
  <w:style w:type="character" w:customStyle="1" w:styleId="18">
    <w:name w:val="Основной текст Знак"/>
    <w:basedOn w:val="2"/>
    <w:link w:val="7"/>
    <w:qFormat/>
    <w:uiPriority w:val="0"/>
    <w:rPr>
      <w:rFonts w:ascii="Times New Roman" w:hAnsi="Times New Roman" w:eastAsia="Times New Roman" w:cs="Times New Roman"/>
      <w:lang w:eastAsia="ar-SA" w:bidi="ar-SA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ind w:left="108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customStyle="1" w:styleId="20">
    <w:name w:val="colgreen"/>
    <w:qFormat/>
    <w:uiPriority w:val="0"/>
  </w:style>
  <w:style w:type="character" w:customStyle="1" w:styleId="21">
    <w:name w:val="Основной текст (2) + 11 pt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22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table" w:customStyle="1" w:styleId="23">
    <w:name w:val="Сетка таблицы2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14</Pages>
  <Words>2901</Words>
  <Characters>16537</Characters>
  <Lines>137</Lines>
  <Paragraphs>38</Paragraphs>
  <TotalTime>24</TotalTime>
  <ScaleCrop>false</ScaleCrop>
  <LinksUpToDate>false</LinksUpToDate>
  <CharactersWithSpaces>19400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2026-07-21T13:12:00Z</dcterms:created>
  <dc:creator>ConsultantPlus</dc:creator>
  <cp:lastModifiedBy>User-2</cp:lastModifiedBy>
  <dcterms:modified xsi:type="dcterms:W3CDTF">2026-08-04T06:53:20Z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eyJoZGlkIjoiOTdkOTgzOWMyNjFkNGMzMWY1YjdkZGQ1NGU4YjFiMDEifQ==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163F28EAC3994178A8DC741A9BD86458_12</vt:lpwstr>
  </property>
</Properties>
</file>