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Pr="000C0AB7" w:rsidRDefault="00C043E6" w:rsidP="00C043E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0C0AB7">
        <w:rPr>
          <w:rFonts w:ascii="Times New Roman" w:eastAsia="Calibri" w:hAnsi="Times New Roman" w:cs="Times New Roman"/>
          <w:kern w:val="32"/>
          <w:sz w:val="24"/>
          <w:szCs w:val="24"/>
        </w:rPr>
        <w:t>ФОРМА</w:t>
      </w:r>
    </w:p>
    <w:p w:rsidR="00C043E6" w:rsidRPr="000C0AB7" w:rsidRDefault="00C043E6" w:rsidP="00C04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0AB7">
        <w:rPr>
          <w:rFonts w:ascii="Times New Roman" w:eastAsia="Calibri" w:hAnsi="Times New Roman" w:cs="Times New Roman"/>
          <w:sz w:val="24"/>
          <w:szCs w:val="24"/>
          <w:lang w:eastAsia="ru-RU"/>
        </w:rPr>
        <w:t>сводного отчета о проведении оценки регулирующего воздействия</w:t>
      </w:r>
    </w:p>
    <w:p w:rsidR="00C043E6" w:rsidRPr="000C0AB7" w:rsidRDefault="00C043E6" w:rsidP="00C043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7229"/>
      </w:tblGrid>
      <w:tr w:rsidR="00C043E6" w:rsidRPr="000C0AB7" w:rsidTr="00400C77">
        <w:trPr>
          <w:cantSplit/>
          <w:trHeight w:val="996"/>
        </w:trPr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Сроки проведения публичного обсуждения проекта акта: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начало: "25" октября 2021 г.;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окончание: "17" ноября 2021г.</w:t>
            </w:r>
          </w:p>
        </w:tc>
      </w:tr>
    </w:tbl>
    <w:p w:rsidR="00C043E6" w:rsidRPr="000C0AB7" w:rsidRDefault="00C043E6" w:rsidP="00C043E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C043E6" w:rsidRPr="000C0AB7" w:rsidTr="00400C77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Структурное подразделение администрации Красногорского района (далее – разработчик):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отдела ЖКХ, строительства и архитектуры администрации Красногорского района Брянской области</w:t>
            </w:r>
          </w:p>
          <w:p w:rsidR="00C043E6" w:rsidRPr="000C0AB7" w:rsidRDefault="00C043E6" w:rsidP="00C043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Сведения структурных </w:t>
            </w: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подразделениях</w:t>
            </w:r>
            <w:proofErr w:type="gramEnd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администрации Красногорского района  – соисполнителях: нет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полное и краткое наименования)</w:t>
            </w:r>
          </w:p>
        </w:tc>
      </w:tr>
      <w:tr w:rsidR="00C043E6" w:rsidRPr="000C0AB7" w:rsidTr="00400C77">
        <w:trPr>
          <w:cantSplit/>
          <w:trHeight w:val="982"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Вид и наименование проекта акта: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Pr="000C0AB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Красногорского поселкового Совета народных депутатов «Об утверждении Положения о муниципальном жилищном контроле в Красногорском городском поселении Красногорского муниципального района Брянской области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1417"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порядка осуществления </w:t>
            </w:r>
            <w:r w:rsidRPr="000C0AB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жилищного контроля на территории </w:t>
            </w:r>
            <w:r w:rsidR="0003116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городского поселения Красногорского района</w:t>
            </w:r>
            <w:r w:rsidRPr="000C0AB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соответствие с требованиями Федерального закона от 31.07.2020 №248-ФЗ «О государственном контроле (надзоре) и муниципальном контроле в Российской Федерации»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298"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Основание для разработки проекта акта: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закон от 31.07.2020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№248-ФЗ «О государственном контроле (надзоре) и муниципальном контроле в Российской Федерации», Жилищный кодекс Российской Федерации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rPr>
                <w:trHeight w:val="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Краткое описание целей предлагаемого регулирования: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приведение муниципальных правовых актов в области муниципального жилищного контроля в соответствие с требованиями действующего законодательства, установление </w:t>
            </w:r>
            <w:proofErr w:type="gramStart"/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риск-ориентированного</w:t>
            </w:r>
            <w:proofErr w:type="gramEnd"/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подхода как метода организации и проведения муниципального жилищного контроля; регулирование вопросов профилактики нарушений обязательных требований в сфере жилищных отношений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Краткое описание предлагаемого способа регулирования: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категорий рисков причинения вреда, утверждение перечня индикаторов рисков нарушения обязательных требований, установленных жилищным законодательством, и порядка их выявления; применение дифференцированного подхода к планированию проверок в зависимости от уровня риска причинения вреда охраняемым законом ценностям, установление периодичности проведения плановых контрольных мероприятий в зависимости от присвоенной категории риска.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перечня и порядка проведения контрольных действий в зависимости от выбора контрольного мероприятия в рамках проведения отдельной проверки; установление перечня и порядка проведения профилактических мероприятий.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470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2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 w:rsidR="00C043E6" w:rsidRPr="000C0AB7" w:rsidTr="00400C77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Ф.И.О., должность: </w:t>
            </w:r>
            <w:proofErr w:type="spell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Кацук</w:t>
            </w:r>
            <w:proofErr w:type="spellEnd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Таисия Николаевна, начальник отдела ЖКХ, строительства и архитектуры администрации Красногорского района Брянской области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  <w:trHeight w:val="8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  <w:trHeight w:val="8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Тел, адрес электронной почты: 9-16-39</w:t>
            </w:r>
          </w:p>
        </w:tc>
      </w:tr>
      <w:tr w:rsidR="00C043E6" w:rsidRPr="000C0AB7" w:rsidTr="00400C77">
        <w:trPr>
          <w:cantSplit/>
          <w:trHeight w:val="80"/>
        </w:trPr>
        <w:tc>
          <w:tcPr>
            <w:tcW w:w="9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8"/>
        <w:gridCol w:w="4304"/>
      </w:tblGrid>
      <w:tr w:rsidR="00C043E6" w:rsidRPr="000C0AB7" w:rsidTr="00400C7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Степень регулирующего воздействия проекта акта</w:t>
            </w:r>
          </w:p>
        </w:tc>
      </w:tr>
      <w:tr w:rsidR="00C043E6" w:rsidRPr="000C0AB7" w:rsidTr="00400C77">
        <w:trPr>
          <w:cantSplit/>
        </w:trPr>
        <w:tc>
          <w:tcPr>
            <w:tcW w:w="2800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22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средняя</w:t>
            </w:r>
          </w:p>
        </w:tc>
      </w:tr>
      <w:tr w:rsidR="00C043E6" w:rsidRPr="000C0AB7" w:rsidTr="00400C77">
        <w:trPr>
          <w:cantSplit/>
          <w:trHeight w:val="117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Решения относится к средней степени регулирующего воздействия, так как содержит положения, изменяющие ранее установленный Решением 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Красногорского района Брянской области от 22.01.2016 г. № 17 «Об утверждении административного регламента исполнения муниципальной функции «Осуществление муниципального жилищного контроля </w:t>
            </w:r>
            <w:r w:rsidRPr="000C0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территории «Красногорского городского поселения Брянской области» 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муниципального жилищного контроля на территории Красногорского городского поселения Брянской области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C043E6" w:rsidRPr="000C0AB7" w:rsidTr="00400C77">
        <w:trPr>
          <w:cantSplit/>
        </w:trPr>
        <w:tc>
          <w:tcPr>
            <w:tcW w:w="97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C043E6" w:rsidRPr="000C0AB7" w:rsidTr="00400C77">
        <w:trPr>
          <w:cantSplit/>
          <w:trHeight w:val="618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внедрения </w:t>
            </w: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риск-ориентированного</w:t>
            </w:r>
            <w:proofErr w:type="gramEnd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подхода модель контрольной деятельности обязывала орган муниципального контроля осуществлять сплошную проверку подконтрольных объектов с определенной периодичностью, что часто приводило к неэффективному расходованию ресурсов. Вместе с тем количество подконтрольных объектов существенно превышало потенциальные возможности органа контроля по их проверке, что препятствовало обеспечению безопасности результатов деятельности подконтрольных субъектов путем муниципального контроля. </w:t>
            </w: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Поэтому в целях снижения общей административной нагрузки на субъекты хозяйственной деятельности и повышения уровня эффективности контрольной деятельности необходим переход на риск-ориентированную модель контроля-от тотального контроля к дифференцированному планированию проверок в зависимости от уровня риска причинения вреда охраняемым законом ценностям в соответствии с требованиями Федерального закона от 31.07.2020 №248-ФЗ «О государственном контроле (надзоре) и муниципальном контроле в Российской Федерации»</w:t>
            </w:r>
            <w:proofErr w:type="gramEnd"/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1094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риск-ориентированного</w:t>
            </w:r>
            <w:proofErr w:type="gramEnd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подхода при проведении контрольных мероприятий не позволяет осуществлять выбор интенсивности (формы, продолжительности, периодичности) проведения мероприятий по муниципальному жилищному контролю, а также мероприятий по профилактике нарушения обязательных требований с учетом отнесения деятельности юридического лица, индивидуального предпринимателя к определенной категории риска.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571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Сделать выводы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 не представляется возможным.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1268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 нет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360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закон от 31.07.2020 №248-ФЗ «О государственном контроле (надзоре) и муниципальном контроле в Российской Федерации», Жилищный кодекс Российской Федерации, Федеральный закон от 11.06.2021№ 170-ФЗ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360"/>
        </w:trPr>
        <w:tc>
          <w:tcPr>
            <w:tcW w:w="97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en-US"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Иная информация о проблеме: нет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C043E6" w:rsidRPr="000C0AB7" w:rsidTr="00400C77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Анализ опыта других регионов в соответствующих сферах деятельности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Опыт других регионов в соответствующих сферах деятельности: </w:t>
            </w:r>
            <w:r w:rsidR="00904BB4"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приняты аналогичные нормативно-правовые акты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360"/>
        </w:trPr>
        <w:tc>
          <w:tcPr>
            <w:tcW w:w="9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7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C043E6" w:rsidRPr="000C0AB7" w:rsidRDefault="009C2BE3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официального опубликования нормативно-правовых актов, справочно-правовая система «Консультант Плюс»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8"/>
        <w:gridCol w:w="3402"/>
      </w:tblGrid>
      <w:tr w:rsidR="00C043E6" w:rsidRPr="000C0AB7" w:rsidTr="00400C77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51636E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области, решениям Красногорского </w:t>
            </w:r>
            <w:r w:rsidR="005163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поселкового</w:t>
            </w: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Совета народных депутатов, постановлениям и распоряжениям администрации Красногорского района</w:t>
            </w:r>
          </w:p>
        </w:tc>
      </w:tr>
      <w:tr w:rsidR="000C0AB7" w:rsidRPr="000C0AB7" w:rsidTr="000C0AB7">
        <w:trPr>
          <w:cantSplit/>
          <w:trHeight w:val="1985"/>
        </w:trPr>
        <w:tc>
          <w:tcPr>
            <w:tcW w:w="6378" w:type="dxa"/>
            <w:tcBorders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82"/>
            </w:tblGrid>
            <w:tr w:rsidR="000C0AB7" w:rsidRPr="000C0AB7" w:rsidTr="00400C77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0AB7" w:rsidRPr="000C0AB7" w:rsidRDefault="000C0AB7" w:rsidP="00C043E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0AB7" w:rsidRPr="000C0AB7" w:rsidRDefault="000C0AB7" w:rsidP="00C043E6">
            <w:pPr>
              <w:keepNext/>
              <w:spacing w:after="0" w:line="240" w:lineRule="auto"/>
              <w:ind w:left="1026" w:hanging="993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Цели предлагаемого регулирования: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установление </w:t>
            </w: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риск-ориентированного</w:t>
            </w:r>
            <w:proofErr w:type="gramEnd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подхода как метода организации и проведения муниципального жилищного контроля; регулирование вопросов профилактики нарушений обязательных требований в сфере жилищных отношений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82"/>
            </w:tblGrid>
            <w:tr w:rsidR="000C0AB7" w:rsidRPr="000C0AB7" w:rsidTr="00400C77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0AB7" w:rsidRPr="000C0AB7" w:rsidRDefault="000C0AB7" w:rsidP="00C043E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0AB7" w:rsidRPr="000C0AB7" w:rsidRDefault="000C0AB7" w:rsidP="00C043E6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Установленные сроки достижения целей предлагаемого регулирования: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с момента вступления в силу </w:t>
            </w: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Решения</w:t>
            </w:r>
            <w:proofErr w:type="gramEnd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но не ранее 01 января 2022 года</w:t>
            </w:r>
          </w:p>
        </w:tc>
      </w:tr>
      <w:tr w:rsidR="00C043E6" w:rsidRPr="000C0AB7" w:rsidTr="00400C77">
        <w:trPr>
          <w:cantSplit/>
          <w:trHeight w:val="298"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4C38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области,</w:t>
            </w: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решениям Красногорского </w:t>
            </w:r>
            <w:r w:rsidR="005163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Pr="000C0A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Совета народных депутатов, постановлениям и распоряжениям администрации Красногорского района</w:t>
            </w: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:</w:t>
            </w:r>
          </w:p>
          <w:p w:rsidR="00C043E6" w:rsidRPr="000C0AB7" w:rsidRDefault="00104C38" w:rsidP="00104C3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Федеральный закон от 31.07.2020 №248-ФЗ «О государственном контроле (надзоре) и муниципальном контроле в Российской Федерации», Жилищный кодекс Российской Федерации, Федеральный закон от 11.06.2021№ 170-ФЗ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Федерации»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565"/>
        </w:trPr>
        <w:tc>
          <w:tcPr>
            <w:tcW w:w="9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Иная информация о целях предлагаемого регулирования:</w:t>
            </w:r>
            <w:r w:rsidR="00104C38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4111"/>
      </w:tblGrid>
      <w:tr w:rsidR="00C043E6" w:rsidRPr="000C0AB7" w:rsidTr="00400C77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C043E6" w:rsidRPr="000C0AB7" w:rsidTr="00400C77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4C38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Описание предлагаемого способа решения проблемы и </w:t>
            </w: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связанных с ней негативных эффектов:</w:t>
            </w:r>
          </w:p>
          <w:p w:rsidR="00C043E6" w:rsidRPr="000C0AB7" w:rsidRDefault="00104C38" w:rsidP="00104C3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проектом Решения предлагается установить категории рисков причинения вреда, утвердить перечень индикаторов рисков нарушения обязательных требований, установленных жилищным законодательством, а также порядок их выявления; применять дифференцированный подход к планированию проверок в зависимости от уровня риска причинения вреда охраняемым законом ценностям; установить периодичность проведения плановых контрольных мероприятий в зависимости от присвоенной категории риска;</w:t>
            </w:r>
            <w:proofErr w:type="gramEnd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установить перечень и порядок проведения контрольных действий в зависимости от выбора контрольного мероприятия в рамках проведения отдельной проверки; установить перечень и порядок проведения профилактических мероприятий в целях предупреждения нарушений в сфере жилищных отношений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540"/>
        </w:trPr>
        <w:tc>
          <w:tcPr>
            <w:tcW w:w="978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104C38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540"/>
        </w:trPr>
        <w:tc>
          <w:tcPr>
            <w:tcW w:w="978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Обоснование выбора предлагаемого способа решения проблемы:</w:t>
            </w:r>
          </w:p>
          <w:p w:rsidR="00C043E6" w:rsidRPr="000C0AB7" w:rsidRDefault="00104C38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Принятие проекта Решения позволит органу муниципального жилищного контроля города Брянска осуществлять контрольную деятельность на территории города Брянска в соответствии с требованиями Федерального закона от 31.07.2020 №248-ФЗ «О государственном контроле (надзоре) и муниципальном контроле в Российской Федерации», с учетом внедрения </w:t>
            </w: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риск-ориентированного</w:t>
            </w:r>
            <w:proofErr w:type="gramEnd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подхода к контрольной деятельности и применения всего спектра профилактических мероприятий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Иная информация о предлагаемом способе решения проблемы:</w:t>
            </w:r>
            <w:r w:rsidR="00104C38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104C38" w:rsidRPr="000C0AB7" w:rsidTr="00400C77">
        <w:trPr>
          <w:cantSplit/>
          <w:trHeight w:val="2450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104C38" w:rsidRPr="000C0AB7" w:rsidRDefault="00104C38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104C38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C38" w:rsidRPr="000C0AB7" w:rsidRDefault="00104C38" w:rsidP="00C043E6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104C38" w:rsidRPr="000C0AB7" w:rsidRDefault="00104C38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Группа участников отношений</w:t>
            </w:r>
          </w:p>
          <w:p w:rsidR="00104C38" w:rsidRPr="000C0AB7" w:rsidRDefault="00104C38" w:rsidP="00104C3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Юридические лица независимо от их организационно-правовых форм и форм собственности, осуществляющие деятельность по управлению многоквартирными домами, оказывающих услуги и (или) выполняющих работы по содержанию и ремонту общего имущества в многоквартирных домах</w:t>
            </w:r>
          </w:p>
        </w:tc>
        <w:tc>
          <w:tcPr>
            <w:tcW w:w="4111" w:type="dxa"/>
            <w:tcBorders>
              <w:top w:val="double" w:sz="4" w:space="0" w:color="auto"/>
              <w:right w:val="double" w:sz="4" w:space="0" w:color="auto"/>
            </w:tcBorders>
          </w:tcPr>
          <w:p w:rsidR="00104C38" w:rsidRPr="000C0AB7" w:rsidRDefault="00104C38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104C38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C38" w:rsidRPr="000C0AB7" w:rsidRDefault="00104C38" w:rsidP="00C043E6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104C38" w:rsidRPr="000C0AB7" w:rsidRDefault="00104C38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</w:p>
          <w:p w:rsidR="00104C38" w:rsidRPr="000C0AB7" w:rsidRDefault="00104C38" w:rsidP="00C043E6">
            <w:pPr>
              <w:keepNext/>
              <w:spacing w:after="0" w:line="240" w:lineRule="auto"/>
              <w:ind w:left="884" w:hanging="851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color w:val="FF0000"/>
                <w:kern w:val="32"/>
                <w:sz w:val="24"/>
                <w:szCs w:val="24"/>
                <w:lang w:eastAsia="ru-RU"/>
              </w:rPr>
              <w:t>Количество участников-более 150</w:t>
            </w:r>
          </w:p>
        </w:tc>
      </w:tr>
      <w:tr w:rsidR="00C043E6" w:rsidRPr="000C0AB7" w:rsidTr="00400C77">
        <w:trPr>
          <w:cantSplit/>
          <w:trHeight w:val="360"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5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Источники данных:</w:t>
            </w:r>
            <w:r w:rsidR="00104C38"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C38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ГИС ЖКХ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3403"/>
        <w:gridCol w:w="2692"/>
      </w:tblGrid>
      <w:tr w:rsidR="00C043E6" w:rsidRPr="000C0AB7" w:rsidTr="00400C77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Новые функции, полномочия, обязанности и права исполнительно-распорядительных органов местного самоуправления или их изменение, а также порядок их реализации </w:t>
            </w:r>
          </w:p>
        </w:tc>
      </w:tr>
      <w:tr w:rsidR="00C043E6" w:rsidRPr="000C0AB7" w:rsidTr="00C271E5">
        <w:trPr>
          <w:cantSplit/>
          <w:trHeight w:val="251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3" w:type="dxa"/>
            <w:tcBorders>
              <w:top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692" w:type="dxa"/>
            <w:tcBorders>
              <w:top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  <w:trHeight w:val="251"/>
        </w:trPr>
        <w:tc>
          <w:tcPr>
            <w:tcW w:w="97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043E6" w:rsidRPr="000C0AB7" w:rsidRDefault="00C043E6" w:rsidP="00104C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органа:</w:t>
            </w: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04C38"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Красногорского района Брянской области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сведений, используемых для оценки и управления рисками причинения вреда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Постоянно, путем сбора, анализа, обработки и учета данных об объектах контроля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Отнесение объектов контроля к категориям риска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Ежегодно на основе сопоставления его характеристик с утвержденными критериями риска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информирования контролируемых лиц и иных заинтересованных лиц по вопросам соблюдения обязательных требований в сфере жилищных отношений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соответствующих сведений на официальном сайте администрации Красногорского района Брянской области в сети Интернет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Устно по телефону, посредством видео-конференц-связи, на личном приеме, в ходе проведения профилактического, контрольного мероприятия, на сайте администрации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визита в отношении контролируемых лиц, приступающих к осуществлению деятельности по управлению многоквартирными домами, а также в отношении объектов контроля, отнесенных к категории высокого риска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gramStart"/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видео-конференцсвязи</w:t>
            </w:r>
            <w:proofErr w:type="gramEnd"/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pStyle w:val="a9"/>
              <w:spacing w:after="2980"/>
              <w:jc w:val="center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Инспекционный визит</w:t>
            </w:r>
          </w:p>
        </w:tc>
        <w:tc>
          <w:tcPr>
            <w:tcW w:w="3403" w:type="dxa"/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Проводится по месту нахождения (осуществления деятельности) контролируемого лица либо объекта контроля без предварительного уведомления контролируемого лица. В ходе инспекционного визита могут совершаться: осмотр; опрос; получение письменных объяснений; инструментальное обследование; истребование документов.</w:t>
            </w:r>
          </w:p>
        </w:tc>
        <w:tc>
          <w:tcPr>
            <w:tcW w:w="2692" w:type="dxa"/>
            <w:tcBorders>
              <w:right w:val="double" w:sz="4" w:space="0" w:color="auto"/>
            </w:tcBorders>
          </w:tcPr>
          <w:p w:rsidR="00C271E5" w:rsidRPr="000C0AB7" w:rsidRDefault="00C271E5" w:rsidP="00400C77">
            <w:pPr>
              <w:pStyle w:val="a9"/>
              <w:spacing w:after="2980"/>
              <w:jc w:val="center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Повышение трудозатрат</w:t>
            </w:r>
          </w:p>
        </w:tc>
      </w:tr>
      <w:tr w:rsidR="00C271E5" w:rsidRPr="000C0AB7" w:rsidTr="00C271E5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  <w:bottom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Рейдовый осмотр</w:t>
            </w:r>
          </w:p>
        </w:tc>
        <w:tc>
          <w:tcPr>
            <w:tcW w:w="3403" w:type="dxa"/>
            <w:tcBorders>
              <w:bottom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>Проводится в целях оценки соблюдения обязательных требований по использованию (эксплуатации) объектов муниципального жилищного фонда.</w:t>
            </w:r>
          </w:p>
        </w:tc>
        <w:tc>
          <w:tcPr>
            <w:tcW w:w="2692" w:type="dxa"/>
            <w:tcBorders>
              <w:bottom w:val="double" w:sz="4" w:space="0" w:color="auto"/>
              <w:right w:val="double" w:sz="4" w:space="0" w:color="auto"/>
            </w:tcBorders>
          </w:tcPr>
          <w:p w:rsidR="00C271E5" w:rsidRPr="000C0AB7" w:rsidRDefault="00C271E5" w:rsidP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трудозатрат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0"/>
        <w:gridCol w:w="2637"/>
        <w:gridCol w:w="2326"/>
      </w:tblGrid>
      <w:tr w:rsidR="00C043E6" w:rsidRPr="000C0AB7" w:rsidTr="00400C77">
        <w:trPr>
          <w:cantSplit/>
          <w:trHeight w:val="566"/>
        </w:trPr>
        <w:tc>
          <w:tcPr>
            <w:tcW w:w="0" w:type="auto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Оценка соответствующих расходов (возможных поступлений) бюджета Красногорского района</w:t>
            </w:r>
          </w:p>
        </w:tc>
      </w:tr>
      <w:tr w:rsidR="00C043E6" w:rsidRPr="000C0AB7" w:rsidTr="00400C77">
        <w:trPr>
          <w:cantSplit/>
          <w:trHeight w:val="9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видов расходов (возможных поступлений) бюджета Красногорского района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rPr>
                <w:trHeight w:val="33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400C77" w:rsidRPr="000C0AB7" w:rsidTr="00400C77">
        <w:trPr>
          <w:cantSplit/>
          <w:trHeight w:val="236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Организация мониторинга сведений, используемых для оценки и управления рисками причинения вреда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Отнесение объектов контроля к категориям риска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tabs>
                <w:tab w:val="left" w:pos="2362"/>
              </w:tabs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Осуществление информирования контролируемых лиц и иных з</w:t>
            </w:r>
            <w:r w:rsidRPr="000C0AB7">
              <w:rPr>
                <w:sz w:val="24"/>
                <w:szCs w:val="24"/>
              </w:rPr>
              <w:t xml:space="preserve">аинтересованных лиц по вопросам </w:t>
            </w: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соблюдения</w:t>
            </w:r>
            <w:r w:rsidRPr="000C0AB7">
              <w:rPr>
                <w:sz w:val="24"/>
                <w:szCs w:val="24"/>
              </w:rPr>
              <w:t xml:space="preserve"> </w:t>
            </w: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обязательных требований в сфере жилищных отношений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Консультирование контролируемых лиц и их представителей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jc w:val="both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Проведение профилактического визита в отношении контролируемых лиц, приступающих к осуществлению деятельности по управлению многоквартирными домами, а также в отношении объектов контроля, отнесенных к категории высокого риска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Инспекционный визит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0C77" w:rsidRPr="000C0AB7" w:rsidTr="00400C77">
        <w:trPr>
          <w:cantSplit/>
          <w:trHeight w:val="2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0C77" w:rsidRPr="000C0AB7" w:rsidRDefault="00400C77" w:rsidP="00400C77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0C0AB7">
              <w:rPr>
                <w:color w:val="000000"/>
                <w:sz w:val="24"/>
                <w:szCs w:val="24"/>
                <w:lang w:eastAsia="ru-RU" w:bidi="ru-RU"/>
              </w:rPr>
              <w:t>Рейдовый осмотр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Отсутствуют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43E6" w:rsidRPr="000C0AB7" w:rsidTr="00400C77">
        <w:trPr>
          <w:cantSplit/>
          <w:trHeight w:val="95"/>
        </w:trPr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1"/>
            </w:tblGrid>
            <w:tr w:rsidR="00C043E6" w:rsidRPr="000C0AB7" w:rsidTr="00400C77">
              <w:trPr>
                <w:trHeight w:val="33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271E5">
            <w:p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00C77"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администрация Красногорского района Брянской области</w:t>
            </w:r>
          </w:p>
        </w:tc>
      </w:tr>
      <w:tr w:rsidR="00C043E6" w:rsidRPr="000C0AB7" w:rsidTr="00400C77">
        <w:trPr>
          <w:cantSplit/>
          <w:trHeight w:val="4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400C7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C043E6" w:rsidRPr="000C0AB7" w:rsidTr="00400C7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400C77" w:rsidP="00400C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Единовременные расходы</w:t>
            </w:r>
            <w:r w:rsidR="00C043E6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C043E6" w:rsidRPr="000C0AB7" w:rsidRDefault="00400C77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rPr>
          <w:cantSplit/>
          <w:trHeight w:val="9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C043E6" w:rsidRPr="000C0AB7" w:rsidTr="00400C7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Периодические расходы за период: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C043E6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rPr>
          <w:cantSplit/>
          <w:trHeight w:val="9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C043E6" w:rsidRPr="000C0AB7" w:rsidTr="00400C7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400C77" w:rsidP="00400C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поступления за период: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C043E6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rPr>
          <w:cantSplit/>
          <w:trHeight w:val="269"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Итого единовременные расходы: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43E6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0" w:type="auto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Итого периодические расходы за год:</w:t>
            </w:r>
          </w:p>
        </w:tc>
        <w:tc>
          <w:tcPr>
            <w:tcW w:w="0" w:type="auto"/>
          </w:tcPr>
          <w:p w:rsidR="00C043E6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rPr>
          <w:cantSplit/>
          <w:trHeight w:val="215"/>
        </w:trPr>
        <w:tc>
          <w:tcPr>
            <w:tcW w:w="0" w:type="auto"/>
            <w:gridSpan w:val="2"/>
            <w:tcBorders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Итого возможные поступления за год: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C043E6" w:rsidRPr="000C0AB7" w:rsidRDefault="00400C77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43E6" w:rsidRPr="000C0AB7" w:rsidTr="00400C77">
        <w:trPr>
          <w:cantSplit/>
          <w:trHeight w:val="188"/>
        </w:trPr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Иные сведения о расходах (возможных поступлениях) бюджета Красногорского района: </w:t>
            </w:r>
            <w:r w:rsidR="00400C77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нет</w:t>
            </w:r>
          </w:p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188"/>
        </w:trPr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400C77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 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1"/>
        <w:gridCol w:w="143"/>
        <w:gridCol w:w="3120"/>
        <w:gridCol w:w="1986"/>
      </w:tblGrid>
      <w:tr w:rsidR="00C043E6" w:rsidRPr="000C0AB7" w:rsidTr="00400C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C043E6" w:rsidRPr="000C0AB7" w:rsidTr="00400C77">
        <w:trPr>
          <w:cantSplit/>
          <w:trHeight w:val="525"/>
        </w:trPr>
        <w:tc>
          <w:tcPr>
            <w:tcW w:w="2313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642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045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0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400C77" w:rsidRPr="000C0AB7" w:rsidTr="00400C77">
        <w:trPr>
          <w:cantSplit/>
          <w:trHeight w:val="3848"/>
        </w:trPr>
        <w:tc>
          <w:tcPr>
            <w:tcW w:w="2313" w:type="pct"/>
            <w:gridSpan w:val="2"/>
            <w:tcBorders>
              <w:left w:val="double" w:sz="4" w:space="0" w:color="auto"/>
            </w:tcBorders>
          </w:tcPr>
          <w:p w:rsidR="00400C77" w:rsidRPr="000C0AB7" w:rsidRDefault="00400C77" w:rsidP="00400C77">
            <w:pPr>
              <w:tabs>
                <w:tab w:val="right" w:pos="3739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Юридические лица независимо от их организационно-правовых форм и форм собственности, осуществляющие деятельность по управлению многоквартирными домами, оказывающих услуги и (или) выполняющих работы </w:t>
            </w:r>
            <w:proofErr w:type="spellStart"/>
            <w:r w:rsidRPr="000C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 w:rsidRPr="000C0AB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содержанию</w:t>
            </w:r>
            <w:proofErr w:type="spellEnd"/>
            <w:r w:rsidRPr="000C0AB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ремонту общего имущества в многоквартирных домах</w:t>
            </w:r>
          </w:p>
        </w:tc>
        <w:tc>
          <w:tcPr>
            <w:tcW w:w="1642" w:type="pct"/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45" w:type="pct"/>
            <w:tcBorders>
              <w:right w:val="double" w:sz="4" w:space="0" w:color="auto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spacing w:after="0" w:line="240" w:lineRule="auto"/>
              <w:ind w:left="60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C043E6" w:rsidRPr="000C0AB7" w:rsidTr="00400C77">
        <w:trPr>
          <w:cantSplit/>
          <w:trHeight w:val="89"/>
        </w:trPr>
        <w:tc>
          <w:tcPr>
            <w:tcW w:w="22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Группа участников отношений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71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04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и оценка видов расходов</w:t>
            </w:r>
          </w:p>
        </w:tc>
      </w:tr>
      <w:tr w:rsidR="00400C77" w:rsidRPr="000C0AB7" w:rsidTr="00400C77">
        <w:trPr>
          <w:cantSplit/>
          <w:trHeight w:val="3079"/>
        </w:trPr>
        <w:tc>
          <w:tcPr>
            <w:tcW w:w="2238" w:type="pct"/>
            <w:tcBorders>
              <w:left w:val="double" w:sz="4" w:space="0" w:color="auto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Юридические лица независимо от их организационно-правовых форм и форм собственности, осуществляющие деятельность по управлению многоквартирными домами, оказывающих услуги и (или) выполняющих работы по содержанию и ремонту общего имущества в многоквартирных домах</w:t>
            </w:r>
          </w:p>
        </w:tc>
        <w:tc>
          <w:tcPr>
            <w:tcW w:w="1716" w:type="pct"/>
            <w:gridSpan w:val="2"/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46" w:type="pct"/>
            <w:tcBorders>
              <w:right w:val="double" w:sz="4" w:space="0" w:color="auto"/>
            </w:tcBorders>
          </w:tcPr>
          <w:p w:rsidR="00400C77" w:rsidRPr="000C0AB7" w:rsidRDefault="00400C77" w:rsidP="00C043E6">
            <w:pPr>
              <w:keepNext/>
              <w:spacing w:after="0" w:line="240" w:lineRule="auto"/>
              <w:ind w:firstLine="33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</w:rPr>
            </w:pPr>
          </w:p>
        </w:tc>
      </w:tr>
      <w:tr w:rsidR="00C043E6" w:rsidRPr="000C0AB7" w:rsidTr="00400C77">
        <w:trPr>
          <w:cantSplit/>
          <w:trHeight w:val="8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6"/>
                    </w:num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C043E6" w:rsidRPr="000C0AB7" w:rsidRDefault="00C043E6" w:rsidP="00C043E6">
            <w:pPr>
              <w:keepNext/>
              <w:spacing w:after="0" w:line="240" w:lineRule="auto"/>
              <w:ind w:firstLine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6"/>
        <w:gridCol w:w="1788"/>
        <w:gridCol w:w="2892"/>
        <w:gridCol w:w="1514"/>
      </w:tblGrid>
      <w:tr w:rsidR="00C043E6" w:rsidRPr="000C0AB7" w:rsidTr="00400C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Риски решения проблемы предложенным способом регулирования и риски негативных последствий, а также описание </w:t>
            </w:r>
            <w:proofErr w:type="gramStart"/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методов контроля эффективности избранного способа достижения целей регулирования</w:t>
            </w:r>
            <w:proofErr w:type="gramEnd"/>
          </w:p>
        </w:tc>
      </w:tr>
      <w:tr w:rsidR="00C043E6" w:rsidRPr="000C0AB7" w:rsidTr="00400C77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797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C043E6" w:rsidRPr="000C0AB7" w:rsidTr="00400C77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Степень контроля рисков</w:t>
            </w:r>
          </w:p>
        </w:tc>
      </w:tr>
      <w:tr w:rsidR="00C043E6" w:rsidRPr="000C0AB7" w:rsidTr="00400C77">
        <w:trPr>
          <w:cantSplit/>
          <w:trHeight w:val="50"/>
        </w:trPr>
        <w:tc>
          <w:tcPr>
            <w:tcW w:w="1740" w:type="pct"/>
            <w:tcBorders>
              <w:left w:val="double" w:sz="4" w:space="0" w:color="auto"/>
            </w:tcBorders>
          </w:tcPr>
          <w:p w:rsidR="00C043E6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1" w:type="pct"/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righ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043E6" w:rsidRPr="000C0AB7" w:rsidTr="00400C77">
        <w:trPr>
          <w:cantSplit/>
          <w:trHeight w:val="360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4"/>
            </w:tblGrid>
            <w:tr w:rsidR="00C043E6" w:rsidRPr="000C0AB7" w:rsidTr="00400C77">
              <w:trPr>
                <w:trHeight w:val="326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keepNext/>
                    <w:numPr>
                      <w:ilvl w:val="1"/>
                      <w:numId w:val="11"/>
                    </w:numPr>
                    <w:spacing w:after="0" w:line="240" w:lineRule="auto"/>
                    <w:jc w:val="right"/>
                    <w:outlineLvl w:val="0"/>
                    <w:rPr>
                      <w:rFonts w:ascii="Times New Roman" w:eastAsia="Calibri" w:hAnsi="Times New Roman" w:cs="Times New Roman"/>
                      <w:b/>
                      <w:bCs/>
                      <w:kern w:val="32"/>
                      <w:sz w:val="24"/>
                      <w:szCs w:val="24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400C77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-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2396"/>
        <w:gridCol w:w="1903"/>
        <w:gridCol w:w="131"/>
      </w:tblGrid>
      <w:tr w:rsidR="00C043E6" w:rsidRPr="000C0AB7" w:rsidTr="00400C77">
        <w:trPr>
          <w:gridAfter w:val="1"/>
          <w:wAfter w:w="69" w:type="pct"/>
          <w:cantSplit/>
        </w:trPr>
        <w:tc>
          <w:tcPr>
            <w:tcW w:w="4931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C043E6" w:rsidRPr="000C0AB7" w:rsidTr="00400C77">
        <w:trPr>
          <w:cantSplit/>
          <w:trHeight w:val="25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400C7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Предполагаемая дата вступления в силу проекта акта: </w:t>
            </w:r>
            <w:r w:rsidR="00400C77" w:rsidRPr="000C0A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Со дня официального опубликования, но не ранее 01.01.2022г</w:t>
            </w:r>
          </w:p>
        </w:tc>
      </w:tr>
      <w:tr w:rsidR="00400C77" w:rsidRPr="000C0AB7" w:rsidTr="00400C77">
        <w:trPr>
          <w:cantSplit/>
          <w:trHeight w:val="251"/>
        </w:trPr>
        <w:tc>
          <w:tcPr>
            <w:tcW w:w="2661" w:type="pct"/>
            <w:tcBorders>
              <w:left w:val="double" w:sz="4" w:space="0" w:color="auto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400C77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C77" w:rsidRPr="000C0AB7" w:rsidRDefault="00400C77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0C0AB7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введения предлагаемого регулирования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нет</w:t>
            </w:r>
          </w:p>
        </w:tc>
        <w:tc>
          <w:tcPr>
            <w:tcW w:w="1265" w:type="pct"/>
            <w:tcBorders>
              <w:right w:val="nil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400C77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C77" w:rsidRPr="000C0AB7" w:rsidRDefault="00400C77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left w:val="nil"/>
              <w:right w:val="double" w:sz="4" w:space="0" w:color="auto"/>
            </w:tcBorders>
          </w:tcPr>
          <w:p w:rsidR="00400C77" w:rsidRPr="000C0AB7" w:rsidRDefault="00400C77" w:rsidP="00C043E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00" w:lineRule="exact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400C77" w:rsidRPr="000C0AB7" w:rsidTr="00400C77">
        <w:trPr>
          <w:cantSplit/>
          <w:trHeight w:val="251"/>
        </w:trPr>
        <w:tc>
          <w:tcPr>
            <w:tcW w:w="2661" w:type="pct"/>
            <w:tcBorders>
              <w:left w:val="double" w:sz="4" w:space="0" w:color="auto"/>
              <w:bottom w:val="double" w:sz="4" w:space="0" w:color="auto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400C77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C77" w:rsidRPr="000C0AB7" w:rsidRDefault="00400C77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C77" w:rsidRPr="000C0AB7" w:rsidRDefault="00400C77" w:rsidP="00400C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Необходимость распространения предлагаемого регулирования на ранее возникшие </w:t>
            </w:r>
            <w:proofErr w:type="spell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отношения</w:t>
            </w:r>
            <w:proofErr w:type="gramStart"/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ет</w:t>
            </w:r>
            <w:proofErr w:type="spellEnd"/>
          </w:p>
        </w:tc>
        <w:tc>
          <w:tcPr>
            <w:tcW w:w="1265" w:type="pct"/>
            <w:tcBorders>
              <w:bottom w:val="double" w:sz="4" w:space="0" w:color="auto"/>
              <w:right w:val="nil"/>
            </w:tcBorders>
          </w:tcPr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400C77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C77" w:rsidRPr="000C0AB7" w:rsidRDefault="00400C77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00C77" w:rsidRPr="000C0AB7" w:rsidRDefault="00400C77" w:rsidP="00C043E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00C77" w:rsidRPr="000C0AB7" w:rsidRDefault="00400C77" w:rsidP="00C043E6">
            <w:pPr>
              <w:autoSpaceDE w:val="0"/>
              <w:autoSpaceDN w:val="0"/>
              <w:adjustRightInd w:val="0"/>
              <w:spacing w:after="0" w:line="180" w:lineRule="exact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C043E6" w:rsidRPr="000C0AB7" w:rsidTr="00400C77">
        <w:trPr>
          <w:cantSplit/>
          <w:trHeight w:val="1417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C77" w:rsidRPr="000C0AB7" w:rsidRDefault="00C043E6" w:rsidP="0040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C043E6" w:rsidRPr="000C0AB7" w:rsidRDefault="00400C77" w:rsidP="00435A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В соответствии с частью 4 статьи 98 Федерального закон от 31.07.2020 № 248-ФЗ «О государственном контроле (надзоре) и муниципальном контроле в Российской Федерации» положения о видах муниципального контроля подлежат утверждению до 1 января 2022 года. </w:t>
            </w:r>
            <w:proofErr w:type="gramStart"/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 утверждения проекта Решения (но не позднее 1 января 2022 года) при организации и осуществлении муниципального жилищного контроля на территории </w:t>
            </w:r>
            <w:r w:rsidR="00435AD5"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Красногорского городского поселения</w:t>
            </w: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применяется Федеральный закон от 26.12.2008№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контроля" и принятые в соответствии с ним нормативные правовые акты.</w:t>
            </w:r>
            <w:r w:rsidR="00435AD5"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</w:t>
            </w:r>
            <w:r w:rsidR="00C043E6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proofErr w:type="gramEnd"/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9"/>
        <w:gridCol w:w="1514"/>
        <w:gridCol w:w="1693"/>
        <w:gridCol w:w="1702"/>
        <w:gridCol w:w="1560"/>
      </w:tblGrid>
      <w:tr w:rsidR="00C043E6" w:rsidRPr="000C0AB7" w:rsidTr="00400C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C043E6" w:rsidRPr="000C0AB7" w:rsidTr="00435AD5">
        <w:trPr>
          <w:cantSplit/>
          <w:trHeight w:val="251"/>
        </w:trPr>
        <w:tc>
          <w:tcPr>
            <w:tcW w:w="1595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891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896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821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043E6" w:rsidRPr="000C0AB7" w:rsidTr="00435AD5">
        <w:trPr>
          <w:cantSplit/>
          <w:trHeight w:val="251"/>
        </w:trPr>
        <w:tc>
          <w:tcPr>
            <w:tcW w:w="1595" w:type="pct"/>
            <w:tcBorders>
              <w:left w:val="double" w:sz="4" w:space="0" w:color="auto"/>
            </w:tcBorders>
          </w:tcPr>
          <w:p w:rsidR="00C043E6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pct"/>
          </w:tcPr>
          <w:p w:rsidR="00C043E6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1" w:type="pct"/>
          </w:tcPr>
          <w:p w:rsidR="00C043E6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pct"/>
          </w:tcPr>
          <w:p w:rsidR="00C043E6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pct"/>
            <w:tcBorders>
              <w:right w:val="double" w:sz="4" w:space="0" w:color="auto"/>
            </w:tcBorders>
          </w:tcPr>
          <w:p w:rsidR="00C043E6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43E6" w:rsidRPr="000C0AB7" w:rsidTr="00400C77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435AD5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435AD5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нет</w:t>
            </w:r>
          </w:p>
        </w:tc>
      </w:tr>
    </w:tbl>
    <w:p w:rsidR="00C043E6" w:rsidRPr="000C0AB7" w:rsidRDefault="00C043E6" w:rsidP="00C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333"/>
        <w:gridCol w:w="1931"/>
        <w:gridCol w:w="2132"/>
      </w:tblGrid>
      <w:tr w:rsidR="00C043E6" w:rsidRPr="000C0AB7" w:rsidTr="00400C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C043E6" w:rsidRPr="000C0AB7" w:rsidTr="00435AD5">
        <w:trPr>
          <w:cantSplit/>
          <w:trHeight w:val="914"/>
        </w:trPr>
        <w:tc>
          <w:tcPr>
            <w:tcW w:w="1884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35AD5" w:rsidRPr="000C0AB7" w:rsidRDefault="00435AD5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435AD5" w:rsidRPr="000C0AB7" w:rsidRDefault="00435AD5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Цели предлагаемого регулирования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869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rPr>
                <w:trHeight w:val="12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Индикативные показатели</w:t>
            </w:r>
          </w:p>
        </w:tc>
        <w:tc>
          <w:tcPr>
            <w:tcW w:w="1157" w:type="pct"/>
            <w:gridSpan w:val="2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2"/>
            </w:tblGrid>
            <w:tr w:rsidR="00C043E6" w:rsidRPr="000C0AB7" w:rsidTr="00400C77"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Способы расчета индикативных показателей</w:t>
            </w:r>
          </w:p>
        </w:tc>
      </w:tr>
      <w:tr w:rsidR="00435AD5" w:rsidRPr="000C0AB7" w:rsidTr="00435AD5">
        <w:trPr>
          <w:cantSplit/>
          <w:trHeight w:val="290"/>
        </w:trPr>
        <w:tc>
          <w:tcPr>
            <w:tcW w:w="1884" w:type="pct"/>
            <w:tcBorders>
              <w:left w:val="double" w:sz="4" w:space="0" w:color="auto"/>
            </w:tcBorders>
          </w:tcPr>
          <w:p w:rsidR="00435AD5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риск-ориентированного</w:t>
            </w:r>
            <w:proofErr w:type="gramEnd"/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как метода организации </w:t>
            </w: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проведения муниципального жилищного контроля; регулирование вопросов профилактики нарушений обязательных требований в сфере жилищных отношений</w:t>
            </w:r>
          </w:p>
        </w:tc>
        <w:tc>
          <w:tcPr>
            <w:tcW w:w="3116" w:type="pct"/>
            <w:gridSpan w:val="4"/>
            <w:tcBorders>
              <w:right w:val="double" w:sz="4" w:space="0" w:color="auto"/>
            </w:tcBorders>
          </w:tcPr>
          <w:p w:rsidR="00435AD5" w:rsidRPr="000C0AB7" w:rsidRDefault="00435AD5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Ключевые показатели муниципального жилищного контроля и их целевые значения, индикативные показатели утверждаются приложением к проекту настоящего Решения</w:t>
            </w:r>
          </w:p>
        </w:tc>
      </w:tr>
      <w:tr w:rsidR="00C043E6" w:rsidRPr="000C0AB7" w:rsidTr="00400C77">
        <w:trPr>
          <w:cantSplit/>
          <w:trHeight w:val="153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435AD5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  <w:p w:rsidR="00C043E6" w:rsidRPr="000C0AB7" w:rsidRDefault="00C043E6" w:rsidP="00C043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  <w:trHeight w:val="153"/>
        </w:trPr>
        <w:tc>
          <w:tcPr>
            <w:tcW w:w="2923" w:type="pct"/>
            <w:gridSpan w:val="3"/>
            <w:tcBorders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2077" w:type="pct"/>
            <w:gridSpan w:val="2"/>
            <w:tcBorders>
              <w:right w:val="double" w:sz="4" w:space="0" w:color="auto"/>
            </w:tcBorders>
            <w:vAlign w:val="center"/>
          </w:tcPr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 млн. руб.</w:t>
            </w:r>
          </w:p>
        </w:tc>
      </w:tr>
      <w:tr w:rsidR="00C043E6" w:rsidRPr="000C0AB7" w:rsidTr="00400C77">
        <w:trPr>
          <w:cantSplit/>
          <w:trHeight w:val="153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35AD5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Описание источников информации для расчета индикаторов:</w:t>
            </w:r>
          </w:p>
          <w:p w:rsidR="00C043E6" w:rsidRPr="000C0AB7" w:rsidRDefault="00435AD5" w:rsidP="00435AD5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результаты контрольной деятельности при осуществлении муниципального жилищного контроля на территории </w:t>
            </w:r>
            <w:r w:rsidR="008577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городского поселения</w:t>
            </w:r>
            <w:bookmarkStart w:id="0" w:name="_GoBack"/>
            <w:bookmarkEnd w:id="0"/>
            <w:r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 предыдущие периоды осуществления указанной функции органом муниципального жилищного контроля</w:t>
            </w:r>
            <w:r w:rsidR="00C043E6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C043E6" w:rsidRPr="000C0AB7" w:rsidRDefault="00C043E6" w:rsidP="00C043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35AD5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C043E6" w:rsidRPr="000C0AB7" w:rsidTr="00435AD5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Иные необходимые, по мнению разработчика, сведения:</w:t>
            </w:r>
            <w:r w:rsidR="00435AD5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 имеются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35AD5">
        <w:trPr>
          <w:cantSplit/>
          <w:trHeight w:val="36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Источники данных:</w:t>
            </w:r>
            <w:r w:rsidR="00435AD5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отсутствуют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C043E6" w:rsidRPr="000C0AB7" w:rsidTr="00400C77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43E6" w:rsidRPr="000C0AB7" w:rsidRDefault="00C043E6" w:rsidP="00C043E6">
            <w:pPr>
              <w:numPr>
                <w:ilvl w:val="0"/>
                <w:numId w:val="12"/>
              </w:numPr>
              <w:spacing w:after="0" w:line="240" w:lineRule="auto"/>
              <w:ind w:left="600" w:hanging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проведении публичных консультаций по проекту акта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Полный электронный адрес размещения проекта акта в информационно-телекоммуникационной сети "Интернет":</w:t>
            </w:r>
            <w:hyperlink r:id="rId9" w:history="1">
              <w:r w:rsidR="00C3004A" w:rsidRPr="000C0AB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C3004A" w:rsidRPr="000C0AB7">
                <w:rPr>
                  <w:rStyle w:val="aa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C3004A" w:rsidRPr="000C0AB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krgadm</w:t>
              </w:r>
              <w:proofErr w:type="spellEnd"/>
              <w:r w:rsidR="00C3004A" w:rsidRPr="000C0AB7">
                <w:rPr>
                  <w:rStyle w:val="aa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C3004A" w:rsidRPr="000C0AB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C043E6" w:rsidRPr="000C0AB7" w:rsidRDefault="00C043E6" w:rsidP="00C3004A">
            <w:pPr>
              <w:autoSpaceDE w:val="0"/>
              <w:autoSpaceDN w:val="0"/>
              <w:adjustRightInd w:val="0"/>
              <w:spacing w:after="0" w:line="312" w:lineRule="auto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начало: "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октября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г.;   окончание: "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наября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C3004A"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Сведения об участниках публичных консультаций, извещенных о проведении публичных консультаций:</w:t>
            </w:r>
            <w:r w:rsidR="00C3004A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</w:t>
            </w:r>
          </w:p>
          <w:p w:rsidR="00C043E6" w:rsidRPr="000C0AB7" w:rsidRDefault="00C043E6" w:rsidP="00C043E6">
            <w:pPr>
              <w:spacing w:after="0" w:line="240" w:lineRule="auto"/>
              <w:ind w:left="8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Сведения о лицах, представивших предложения:</w:t>
            </w:r>
            <w:r w:rsidR="00C3004A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35047E" w:rsidRPr="000C0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предложения отсутствуют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3004A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Сведения о подразделениях разработчика, рассмотревших представленные предложения:</w:t>
            </w:r>
            <w:r w:rsidR="00C3004A" w:rsidRPr="000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C043E6" w:rsidRPr="000C0AB7" w:rsidTr="00400C77">
        <w:trPr>
          <w:cantSplit/>
        </w:trPr>
        <w:tc>
          <w:tcPr>
            <w:tcW w:w="9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C043E6" w:rsidRPr="000C0AB7" w:rsidTr="00400C7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3E6" w:rsidRPr="000C0AB7" w:rsidRDefault="00C043E6" w:rsidP="00C043E6">
                  <w:pPr>
                    <w:numPr>
                      <w:ilvl w:val="1"/>
                      <w:numId w:val="12"/>
                    </w:numPr>
                    <w:spacing w:after="0" w:line="240" w:lineRule="auto"/>
                    <w:ind w:left="431" w:hanging="431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43E6" w:rsidRPr="000C0AB7" w:rsidRDefault="00C043E6" w:rsidP="00C043E6">
            <w:pPr>
              <w:keepNext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Иные сведения о проведении публичного обсуждения проекта акта:</w:t>
            </w:r>
            <w:r w:rsidR="0035047E" w:rsidRPr="000C0AB7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 нет </w:t>
            </w:r>
          </w:p>
          <w:p w:rsidR="00C043E6" w:rsidRPr="000C0AB7" w:rsidRDefault="00C043E6" w:rsidP="00C043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C043E6" w:rsidRPr="000C0AB7" w:rsidRDefault="00C043E6" w:rsidP="00C0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0A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C043E6" w:rsidRPr="000C0AB7" w:rsidRDefault="00C043E6" w:rsidP="00C043E6">
      <w:pPr>
        <w:spacing w:after="0" w:line="240" w:lineRule="auto"/>
        <w:ind w:left="2127" w:hanging="21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047E" w:rsidRDefault="0035047E" w:rsidP="00350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C3004A">
        <w:rPr>
          <w:rFonts w:ascii="Times New Roman" w:hAnsi="Times New Roman" w:cs="Times New Roman"/>
          <w:sz w:val="26"/>
          <w:szCs w:val="26"/>
        </w:rPr>
        <w:t>отдела ЖКХ, строительства и</w:t>
      </w:r>
    </w:p>
    <w:p w:rsidR="0035047E" w:rsidRDefault="0035047E" w:rsidP="00350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C3004A">
        <w:rPr>
          <w:rFonts w:ascii="Times New Roman" w:hAnsi="Times New Roman" w:cs="Times New Roman"/>
          <w:sz w:val="26"/>
          <w:szCs w:val="26"/>
        </w:rPr>
        <w:t>рхите</w:t>
      </w:r>
      <w:r>
        <w:rPr>
          <w:rFonts w:ascii="Times New Roman" w:hAnsi="Times New Roman" w:cs="Times New Roman"/>
          <w:sz w:val="26"/>
          <w:szCs w:val="26"/>
        </w:rPr>
        <w:t xml:space="preserve">ктуры </w:t>
      </w:r>
      <w:r w:rsidRPr="00C3004A">
        <w:rPr>
          <w:rFonts w:ascii="Times New Roman" w:hAnsi="Times New Roman" w:cs="Times New Roman"/>
          <w:sz w:val="26"/>
          <w:szCs w:val="26"/>
        </w:rPr>
        <w:t>администрации Красногорского</w:t>
      </w:r>
    </w:p>
    <w:p w:rsidR="00C043E6" w:rsidRDefault="0035047E" w:rsidP="00350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004A">
        <w:rPr>
          <w:rFonts w:ascii="Times New Roman" w:hAnsi="Times New Roman" w:cs="Times New Roman"/>
          <w:sz w:val="26"/>
          <w:szCs w:val="26"/>
        </w:rPr>
        <w:t>района Брянской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0A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Кацук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Т.Н.</w:t>
      </w:r>
    </w:p>
    <w:p w:rsidR="000C0AB7" w:rsidRDefault="000C0AB7" w:rsidP="00350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47E" w:rsidRPr="00C043E6" w:rsidRDefault="000C0AB7" w:rsidP="003504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18.11.2021г.</w:t>
      </w:r>
    </w:p>
    <w:p w:rsidR="00C043E6" w:rsidRPr="00C043E6" w:rsidRDefault="00C043E6" w:rsidP="00C04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0902" w:rsidRDefault="00140902"/>
    <w:sectPr w:rsidR="0014090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76" w:rsidRDefault="00026B76" w:rsidP="00C043E6">
      <w:pPr>
        <w:spacing w:after="0" w:line="240" w:lineRule="auto"/>
      </w:pPr>
      <w:r>
        <w:separator/>
      </w:r>
    </w:p>
  </w:endnote>
  <w:endnote w:type="continuationSeparator" w:id="0">
    <w:p w:rsidR="00026B76" w:rsidRDefault="00026B76" w:rsidP="00C0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76" w:rsidRDefault="00026B76" w:rsidP="00C043E6">
      <w:pPr>
        <w:spacing w:after="0" w:line="240" w:lineRule="auto"/>
      </w:pPr>
      <w:r>
        <w:separator/>
      </w:r>
    </w:p>
  </w:footnote>
  <w:footnote w:type="continuationSeparator" w:id="0">
    <w:p w:rsidR="00026B76" w:rsidRDefault="00026B76" w:rsidP="00C043E6">
      <w:pPr>
        <w:spacing w:after="0" w:line="240" w:lineRule="auto"/>
      </w:pPr>
      <w:r>
        <w:continuationSeparator/>
      </w:r>
    </w:p>
  </w:footnote>
  <w:footnote w:id="1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10 сводного отчета.</w:t>
      </w:r>
    </w:p>
  </w:footnote>
  <w:footnote w:id="6">
    <w:p w:rsidR="00400C77" w:rsidRDefault="00400C77" w:rsidP="00C043E6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5</w:t>
      </w:r>
      <w:r w:rsidRPr="006F6378">
        <w:t xml:space="preserve"> сводного отчета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77" w:rsidRDefault="00400C77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5771D">
      <w:rPr>
        <w:noProof/>
      </w:rPr>
      <w:t>11</w:t>
    </w:r>
    <w:r>
      <w:fldChar w:fldCharType="end"/>
    </w:r>
  </w:p>
  <w:p w:rsidR="00400C77" w:rsidRDefault="00400C77">
    <w:pPr>
      <w:pStyle w:val="a6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multilevel"/>
    <w:tmpl w:val="1DE89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47913"/>
    <w:multiLevelType w:val="multilevel"/>
    <w:tmpl w:val="FA647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1D7121"/>
    <w:multiLevelType w:val="multilevel"/>
    <w:tmpl w:val="7F74F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631DCD"/>
    <w:multiLevelType w:val="multilevel"/>
    <w:tmpl w:val="A3241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57710"/>
    <w:multiLevelType w:val="multilevel"/>
    <w:tmpl w:val="786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ED657A"/>
    <w:multiLevelType w:val="multilevel"/>
    <w:tmpl w:val="46F0B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75011C"/>
    <w:multiLevelType w:val="multilevel"/>
    <w:tmpl w:val="E92A75C2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9874D4"/>
    <w:multiLevelType w:val="multilevel"/>
    <w:tmpl w:val="921A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691BBE"/>
    <w:multiLevelType w:val="multilevel"/>
    <w:tmpl w:val="F2C0413A"/>
    <w:lvl w:ilvl="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823870"/>
    <w:multiLevelType w:val="multilevel"/>
    <w:tmpl w:val="4BEC2C28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044CF"/>
    <w:rsid w:val="00026B76"/>
    <w:rsid w:val="00031160"/>
    <w:rsid w:val="000C0AB7"/>
    <w:rsid w:val="00104C38"/>
    <w:rsid w:val="00140902"/>
    <w:rsid w:val="0035047E"/>
    <w:rsid w:val="003C2897"/>
    <w:rsid w:val="00400C77"/>
    <w:rsid w:val="00435AD5"/>
    <w:rsid w:val="0051636E"/>
    <w:rsid w:val="0085771D"/>
    <w:rsid w:val="00904BB4"/>
    <w:rsid w:val="009C2BE3"/>
    <w:rsid w:val="00A35089"/>
    <w:rsid w:val="00C043E6"/>
    <w:rsid w:val="00C271E5"/>
    <w:rsid w:val="00C3004A"/>
    <w:rsid w:val="00E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043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43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043E6"/>
    <w:rPr>
      <w:vertAlign w:val="superscript"/>
    </w:rPr>
  </w:style>
  <w:style w:type="paragraph" w:styleId="a6">
    <w:name w:val="header"/>
    <w:basedOn w:val="a"/>
    <w:link w:val="a7"/>
    <w:uiPriority w:val="99"/>
    <w:rsid w:val="00C043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C043E6"/>
    <w:rPr>
      <w:rFonts w:ascii="Calibri" w:eastAsia="Times New Roman" w:hAnsi="Calibri" w:cs="Calibri"/>
    </w:rPr>
  </w:style>
  <w:style w:type="character" w:customStyle="1" w:styleId="a8">
    <w:name w:val="Другое_"/>
    <w:basedOn w:val="a0"/>
    <w:link w:val="a9"/>
    <w:rsid w:val="00C271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C271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30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043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43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043E6"/>
    <w:rPr>
      <w:vertAlign w:val="superscript"/>
    </w:rPr>
  </w:style>
  <w:style w:type="paragraph" w:styleId="a6">
    <w:name w:val="header"/>
    <w:basedOn w:val="a"/>
    <w:link w:val="a7"/>
    <w:uiPriority w:val="99"/>
    <w:rsid w:val="00C043E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C043E6"/>
    <w:rPr>
      <w:rFonts w:ascii="Calibri" w:eastAsia="Times New Roman" w:hAnsi="Calibri" w:cs="Calibri"/>
    </w:rPr>
  </w:style>
  <w:style w:type="character" w:customStyle="1" w:styleId="a8">
    <w:name w:val="Другое_"/>
    <w:basedOn w:val="a0"/>
    <w:link w:val="a9"/>
    <w:rsid w:val="00C271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C271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30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r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075C-2B70-4862-8848-F741541E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2021-12-08T10:57:00Z</dcterms:created>
  <dcterms:modified xsi:type="dcterms:W3CDTF">2021-12-14T12:14:00Z</dcterms:modified>
</cp:coreProperties>
</file>