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2DC714">
      <w:pPr>
        <w:pStyle w:val="5"/>
        <w:jc w:val="center"/>
        <w:rPr>
          <w:rFonts w:ascii="Times New Roman" w:hAnsi="Times New Roman" w:cs="Times New Roman"/>
          <w:sz w:val="24"/>
          <w:szCs w:val="24"/>
        </w:rPr>
      </w:pPr>
      <w:r>
        <w:rPr>
          <w:rFonts w:ascii="Times New Roman" w:hAnsi="Times New Roman" w:cs="Times New Roman"/>
          <w:sz w:val="24"/>
          <w:szCs w:val="24"/>
        </w:rPr>
        <w:t>Российская Федерация</w:t>
      </w:r>
    </w:p>
    <w:p w14:paraId="42573501">
      <w:pPr>
        <w:pStyle w:val="5"/>
        <w:jc w:val="center"/>
        <w:rPr>
          <w:rFonts w:ascii="Times New Roman" w:hAnsi="Times New Roman" w:cs="Times New Roman"/>
          <w:sz w:val="24"/>
          <w:szCs w:val="24"/>
        </w:rPr>
      </w:pPr>
      <w:r>
        <w:rPr>
          <w:rFonts w:ascii="Times New Roman" w:hAnsi="Times New Roman" w:cs="Times New Roman"/>
          <w:sz w:val="24"/>
          <w:szCs w:val="24"/>
        </w:rPr>
        <w:t>Брянская область</w:t>
      </w:r>
    </w:p>
    <w:p w14:paraId="6AE1DAA4">
      <w:pPr>
        <w:pStyle w:val="5"/>
        <w:jc w:val="center"/>
        <w:rPr>
          <w:rFonts w:ascii="Times New Roman" w:hAnsi="Times New Roman" w:cs="Times New Roman"/>
          <w:sz w:val="24"/>
          <w:szCs w:val="24"/>
        </w:rPr>
      </w:pPr>
      <w:r>
        <w:rPr>
          <w:rFonts w:ascii="Times New Roman" w:hAnsi="Times New Roman" w:cs="Times New Roman"/>
          <w:sz w:val="24"/>
          <w:szCs w:val="24"/>
        </w:rPr>
        <w:t>АДМИНИСТРАЦИЯ КРАСНОГОРСКОГО РАЙОНА</w:t>
      </w:r>
    </w:p>
    <w:p w14:paraId="2E54EB66">
      <w:pPr>
        <w:pStyle w:val="5"/>
        <w:jc w:val="center"/>
        <w:rPr>
          <w:rFonts w:ascii="Times New Roman" w:hAnsi="Times New Roman" w:cs="Times New Roman"/>
          <w:sz w:val="24"/>
          <w:szCs w:val="24"/>
        </w:rPr>
      </w:pPr>
    </w:p>
    <w:p w14:paraId="23134344">
      <w:pPr>
        <w:pStyle w:val="5"/>
        <w:jc w:val="center"/>
        <w:rPr>
          <w:rFonts w:ascii="Times New Roman" w:hAnsi="Times New Roman" w:cs="Times New Roman"/>
          <w:sz w:val="24"/>
          <w:szCs w:val="24"/>
        </w:rPr>
      </w:pPr>
    </w:p>
    <w:p w14:paraId="6C2DC164">
      <w:pPr>
        <w:pStyle w:val="5"/>
        <w:jc w:val="center"/>
        <w:rPr>
          <w:rFonts w:ascii="Times New Roman" w:hAnsi="Times New Roman" w:cs="Times New Roman"/>
          <w:sz w:val="24"/>
          <w:szCs w:val="24"/>
        </w:rPr>
      </w:pPr>
      <w:r>
        <w:rPr>
          <w:rFonts w:ascii="Times New Roman" w:hAnsi="Times New Roman" w:cs="Times New Roman"/>
          <w:sz w:val="24"/>
          <w:szCs w:val="24"/>
        </w:rPr>
        <w:t>ПОСТАНОВЛЕНИЕ</w:t>
      </w:r>
    </w:p>
    <w:p w14:paraId="773A5E7C">
      <w:pPr>
        <w:pStyle w:val="5"/>
        <w:jc w:val="center"/>
        <w:rPr>
          <w:rFonts w:ascii="Times New Roman" w:hAnsi="Times New Roman" w:cs="Times New Roman"/>
          <w:sz w:val="24"/>
          <w:szCs w:val="24"/>
        </w:rPr>
      </w:pPr>
    </w:p>
    <w:p w14:paraId="15FC2DFE">
      <w:pPr>
        <w:pStyle w:val="5"/>
        <w:ind w:firstLine="0"/>
        <w:rPr>
          <w:rFonts w:ascii="Times New Roman" w:hAnsi="Times New Roman" w:cs="Times New Roman"/>
          <w:sz w:val="24"/>
          <w:szCs w:val="24"/>
        </w:rPr>
      </w:pPr>
      <w:r>
        <w:rPr>
          <w:rFonts w:ascii="Times New Roman" w:hAnsi="Times New Roman" w:cs="Times New Roman"/>
          <w:sz w:val="24"/>
          <w:szCs w:val="24"/>
        </w:rPr>
        <w:t>от 21 августа 2026 г. № 284</w:t>
      </w:r>
    </w:p>
    <w:p w14:paraId="00A82D5D">
      <w:pPr>
        <w:pStyle w:val="5"/>
        <w:ind w:firstLine="0"/>
        <w:rPr>
          <w:rFonts w:hint="default" w:ascii="Times New Roman" w:hAnsi="Times New Roman" w:cs="Times New Roman"/>
          <w:sz w:val="24"/>
          <w:szCs w:val="24"/>
          <w:lang w:val="ru-RU"/>
        </w:rPr>
      </w:pPr>
      <w:r>
        <w:rPr>
          <w:rFonts w:ascii="Times New Roman" w:hAnsi="Times New Roman" w:cs="Times New Roman"/>
          <w:sz w:val="24"/>
          <w:szCs w:val="24"/>
          <w:lang w:val="ru-RU"/>
        </w:rPr>
        <w:t>пгт</w:t>
      </w:r>
      <w:r>
        <w:rPr>
          <w:rFonts w:hint="default" w:ascii="Times New Roman" w:hAnsi="Times New Roman" w:cs="Times New Roman"/>
          <w:sz w:val="24"/>
          <w:szCs w:val="24"/>
          <w:lang w:val="ru-RU"/>
        </w:rPr>
        <w:t>.Красная Гора</w:t>
      </w:r>
    </w:p>
    <w:p w14:paraId="6D203B1E">
      <w:pPr>
        <w:pStyle w:val="5"/>
        <w:ind w:firstLine="0"/>
        <w:rPr>
          <w:rFonts w:hint="default" w:ascii="Times New Roman" w:hAnsi="Times New Roman" w:cs="Times New Roman"/>
          <w:sz w:val="24"/>
          <w:szCs w:val="24"/>
          <w:lang w:val="ru-RU"/>
        </w:rPr>
      </w:pPr>
    </w:p>
    <w:p w14:paraId="636D7516">
      <w:pPr>
        <w:pStyle w:val="5"/>
        <w:ind w:firstLine="0"/>
        <w:rPr>
          <w:rFonts w:hint="default" w:ascii="Times New Roman" w:hAnsi="Times New Roman" w:cs="Times New Roman"/>
          <w:sz w:val="24"/>
          <w:szCs w:val="24"/>
          <w:lang w:val="ru-RU"/>
        </w:rPr>
      </w:pPr>
    </w:p>
    <w:tbl>
      <w:tblPr>
        <w:tblStyle w:val="3"/>
        <w:tblW w:w="10476" w:type="dxa"/>
        <w:tblInd w:w="0" w:type="dxa"/>
        <w:tblLayout w:type="autofit"/>
        <w:tblCellMar>
          <w:top w:w="0" w:type="dxa"/>
          <w:left w:w="108" w:type="dxa"/>
          <w:bottom w:w="0" w:type="dxa"/>
          <w:right w:w="108" w:type="dxa"/>
        </w:tblCellMar>
      </w:tblPr>
      <w:tblGrid>
        <w:gridCol w:w="5495"/>
        <w:gridCol w:w="4981"/>
      </w:tblGrid>
      <w:tr w14:paraId="4108076C">
        <w:tblPrEx>
          <w:tblCellMar>
            <w:top w:w="0" w:type="dxa"/>
            <w:left w:w="108" w:type="dxa"/>
            <w:bottom w:w="0" w:type="dxa"/>
            <w:right w:w="108" w:type="dxa"/>
          </w:tblCellMar>
        </w:tblPrEx>
        <w:tc>
          <w:tcPr>
            <w:tcW w:w="5495" w:type="dxa"/>
          </w:tcPr>
          <w:p w14:paraId="50DCF496">
            <w:pPr>
              <w:pStyle w:val="5"/>
              <w:ind w:firstLine="0"/>
              <w:rPr>
                <w:rFonts w:ascii="Times New Roman" w:hAnsi="Times New Roman" w:cs="Times New Roman"/>
                <w:sz w:val="24"/>
                <w:szCs w:val="24"/>
              </w:rPr>
            </w:pPr>
            <w:r>
              <w:rPr>
                <w:rFonts w:ascii="Times New Roman" w:hAnsi="Times New Roman" w:cs="Times New Roman"/>
                <w:sz w:val="20"/>
                <w:szCs w:val="20"/>
              </w:rPr>
              <w:t>О внесении изменений в Положение № 221 от 29.06.2026г. «О системе оплаты труда  работников  муниципальных бюджетных общеобразовательных учреждений Красногорского района, реализующих программы начального общего, основного общего, среднего (полного) общего образования, муниципальных образовательных учреждений дополнительного образования детей, муниципальных дошкольных образовательных учреждений находящихся в ведении Красногорского района»</w:t>
            </w:r>
          </w:p>
        </w:tc>
        <w:tc>
          <w:tcPr>
            <w:tcW w:w="4981" w:type="dxa"/>
          </w:tcPr>
          <w:p w14:paraId="20EF9D8F">
            <w:pPr>
              <w:pStyle w:val="5"/>
              <w:ind w:firstLine="0"/>
              <w:rPr>
                <w:rFonts w:ascii="Times New Roman" w:hAnsi="Times New Roman" w:cs="Times New Roman"/>
                <w:sz w:val="24"/>
                <w:szCs w:val="24"/>
              </w:rPr>
            </w:pPr>
          </w:p>
        </w:tc>
      </w:tr>
    </w:tbl>
    <w:p w14:paraId="2A7E08B4">
      <w:pPr>
        <w:pStyle w:val="5"/>
        <w:ind w:firstLine="0"/>
        <w:rPr>
          <w:rFonts w:ascii="Times New Roman" w:hAnsi="Times New Roman" w:cs="Times New Roman"/>
          <w:sz w:val="24"/>
          <w:szCs w:val="24"/>
        </w:rPr>
      </w:pPr>
    </w:p>
    <w:p w14:paraId="25C65844">
      <w:pPr>
        <w:pStyle w:val="5"/>
        <w:ind w:firstLine="0"/>
        <w:rPr>
          <w:rFonts w:ascii="Times New Roman" w:hAnsi="Times New Roman" w:cs="Times New Roman"/>
          <w:sz w:val="24"/>
          <w:szCs w:val="24"/>
        </w:rPr>
      </w:pPr>
    </w:p>
    <w:p w14:paraId="43C1508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Трудовым </w:t>
      </w:r>
      <w:r>
        <w:fldChar w:fldCharType="begin"/>
      </w:r>
      <w:r>
        <w:instrText xml:space="preserve"> HYPERLINK "https://login.consultant.ru/link/?req=doc&amp;base=LAW&amp;n=519026&amp;dst=692" \h </w:instrText>
      </w:r>
      <w:r>
        <w:fldChar w:fldCharType="separate"/>
      </w:r>
      <w:r>
        <w:rPr>
          <w:rFonts w:ascii="Times New Roman" w:hAnsi="Times New Roman" w:cs="Times New Roman"/>
          <w:color w:val="0000FF"/>
          <w:sz w:val="28"/>
          <w:szCs w:val="28"/>
        </w:rPr>
        <w:t>кодексом</w:t>
      </w:r>
      <w:r>
        <w:rPr>
          <w:rFonts w:ascii="Times New Roman" w:hAnsi="Times New Roman" w:cs="Times New Roman"/>
          <w:color w:val="0000FF"/>
          <w:sz w:val="28"/>
          <w:szCs w:val="28"/>
        </w:rPr>
        <w:fldChar w:fldCharType="end"/>
      </w:r>
      <w:r>
        <w:rPr>
          <w:rFonts w:ascii="Times New Roman" w:hAnsi="Times New Roman" w:cs="Times New Roman"/>
          <w:sz w:val="28"/>
          <w:szCs w:val="28"/>
        </w:rPr>
        <w:t xml:space="preserve"> Российской Федерации, </w:t>
      </w:r>
      <w:r>
        <w:fldChar w:fldCharType="begin"/>
      </w:r>
      <w:r>
        <w:instrText xml:space="preserve"> HYPERLINK "https://login.consultant.ru/link/?req=doc&amp;base=RLAW201&amp;n=83819&amp;dst=100011" \h </w:instrText>
      </w:r>
      <w:r>
        <w:fldChar w:fldCharType="separate"/>
      </w:r>
      <w:r>
        <w:rPr>
          <w:rFonts w:ascii="Times New Roman" w:hAnsi="Times New Roman" w:cs="Times New Roman"/>
          <w:color w:val="0000FF"/>
          <w:sz w:val="28"/>
          <w:szCs w:val="28"/>
        </w:rPr>
        <w:t>Законом</w:t>
      </w:r>
      <w:r>
        <w:rPr>
          <w:rFonts w:ascii="Times New Roman" w:hAnsi="Times New Roman" w:cs="Times New Roman"/>
          <w:color w:val="0000FF"/>
          <w:sz w:val="28"/>
          <w:szCs w:val="28"/>
        </w:rPr>
        <w:fldChar w:fldCharType="end"/>
      </w:r>
      <w:r>
        <w:rPr>
          <w:rFonts w:ascii="Times New Roman" w:hAnsi="Times New Roman" w:cs="Times New Roman"/>
          <w:sz w:val="28"/>
          <w:szCs w:val="28"/>
        </w:rPr>
        <w:t xml:space="preserve"> Брянской области от 29 декабря 2014 года N 89-З «О системах оплаты труда работников государственных учреждений Брянской области», постановлением Правительства Брянской области от 25 ноября 2019 г. №546-п «Об утверждении Положения об оплаты труда работников государственных бюджетных и автономных учреждений Брянской области, осуществляющих образовательную деятельность», в соответствии с Трудовым Кодексом Российской Федерации, в целях совершенствования оплаты труда работников муниципальных бюджетных  общеобразовательных  учреждений, реализующих программы начального общего, основного общего, среднего (полного)  общего образования, муниципальных образовательных учреждений дополнительного образования детей, муниципальных дошкольных образовательных учреждений находящихся в ведении Красногорского района.</w:t>
      </w:r>
    </w:p>
    <w:p w14:paraId="60B9A8A0">
      <w:pPr>
        <w:spacing w:after="0" w:line="360" w:lineRule="auto"/>
        <w:ind w:firstLine="709"/>
        <w:jc w:val="both"/>
        <w:rPr>
          <w:rFonts w:ascii="Times New Roman" w:hAnsi="Times New Roman" w:cs="Times New Roman"/>
        </w:rPr>
      </w:pPr>
    </w:p>
    <w:p w14:paraId="380F42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ПОСТАНОВЛЯЮ:</w:t>
      </w:r>
    </w:p>
    <w:p w14:paraId="07F661A1">
      <w:pPr>
        <w:pStyle w:val="9"/>
        <w:widowControl w:val="0"/>
        <w:numPr>
          <w:ilvl w:val="0"/>
          <w:numId w:val="1"/>
        </w:numPr>
        <w:tabs>
          <w:tab w:val="left" w:pos="993"/>
        </w:tabs>
        <w:autoSpaceDE w:val="0"/>
        <w:autoSpaceDN w:val="0"/>
        <w:adjustRightInd w:val="0"/>
        <w:spacing w:after="0" w:line="240" w:lineRule="auto"/>
        <w:ind w:left="0" w:firstLine="696"/>
        <w:jc w:val="both"/>
        <w:rPr>
          <w:rFonts w:ascii="Times New Roman" w:hAnsi="Times New Roman" w:cs="Times New Roman"/>
          <w:sz w:val="28"/>
          <w:szCs w:val="28"/>
        </w:rPr>
      </w:pPr>
      <w:r>
        <w:rPr>
          <w:rFonts w:ascii="Times New Roman" w:hAnsi="Times New Roman" w:cs="Times New Roman"/>
          <w:sz w:val="28"/>
          <w:szCs w:val="28"/>
        </w:rPr>
        <w:t>Внести в Положение об оплате труда работников муниципальных бюджетных общеобразовательных учреждений Красногорского района, реализующих программы начального общего, основного общего, среднего (полного) общего образования, муниципальных образовательных учреждений дополнительного образования детей, муниципальных дошкольных образовательных учреждений находящихся в ведении Красногорского района, утвержденное постановление администрации Красногорского района от 29 июня 2026 года № 221следующие изменения:</w:t>
      </w:r>
    </w:p>
    <w:p w14:paraId="0021B5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Абзацы пятый и шестой пункта 2.1 раздела 2 «Порядок и условия оплаты труда работников» исключить.</w:t>
      </w:r>
    </w:p>
    <w:p w14:paraId="63F991D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В разделе 5 «Порядок и условия осуществления выплат стимулирующего характера»:</w:t>
      </w:r>
    </w:p>
    <w:p w14:paraId="2F0DA40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1.2.1.Пункт 5.1 изложить в следующей редакции:</w:t>
      </w:r>
    </w:p>
    <w:p w14:paraId="54155B8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 В целях стимулирования работников образовательных учреждений к качественному результату труда, а также их поощрения за выполненную работу работникам устанавливаются выплаты стимулирующего характера в соответствии с перечнем видов выплат стимулирующего характера, утвержденным нормативным правовым актом Администрации Красногорского района Брянской области.</w:t>
      </w:r>
    </w:p>
    <w:p w14:paraId="062BED3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Выплаты стимулирующего характера, размеры, порядок и условия их установления определяются образовательным учреждением самостоятельно в пределах средств, предусмотренных на оплату труда работников, и закрепляются в локальном нормативном акте образовательного учреждения, принимаемом с учетом мнения выборного органа первичной профсоюзной организации или иного представительного органа работников.</w:t>
      </w:r>
    </w:p>
    <w:p w14:paraId="31F2EAB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Работникам могут устанавливаться следующие выплаты стимулирующего характера:</w:t>
      </w:r>
    </w:p>
    <w:p w14:paraId="0A3BDD8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надбавка за интенсивность труда;</w:t>
      </w:r>
    </w:p>
    <w:p w14:paraId="1110B67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надбавка за наличие квалификационной категории;</w:t>
      </w:r>
    </w:p>
    <w:p w14:paraId="4F96851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надбавка за выслугу лет;</w:t>
      </w:r>
    </w:p>
    <w:p w14:paraId="7FE7627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надбавка за наличие ученой степени;</w:t>
      </w:r>
    </w:p>
    <w:p w14:paraId="4291C68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надбавка за наличие почетного звания;</w:t>
      </w:r>
    </w:p>
    <w:p w14:paraId="1768ACD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надбавка за наличие государственных и ведомственных наград;</w:t>
      </w:r>
    </w:p>
    <w:p w14:paraId="6F2F955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надбавка за работу в сельской местности;</w:t>
      </w:r>
    </w:p>
    <w:p w14:paraId="3162280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надбавка педагогическим работникам государственных образовательных организаций, окончившим образовательные организации высшего образования или профессиональные образовательные организации, первые три года после окончания образовательной организации;</w:t>
      </w:r>
    </w:p>
    <w:p w14:paraId="7C7758B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премия за выполнение особо важных и ответственных работ;</w:t>
      </w:r>
    </w:p>
    <w:p w14:paraId="1305986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премии по итогам работы за отчетный период (месяц, квартал, полугодие, год).</w:t>
      </w:r>
    </w:p>
    <w:p w14:paraId="3774CE6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Выплаты стимулирующего характера к окладам (должностным окладам), ставкам заработной платы работников, предусмотренные пунктами 5.2., 5.6. и 5.7. устанавливаются без учета других выплат компенсационного и стимулирующего характера. </w:t>
      </w:r>
    </w:p>
    <w:p w14:paraId="57ED85E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Выплаты стимулирующего характера к окладам (должностным окладам), ставкам заработной платы работников, предусмотренные пунктами 5.3. – 5.5., 5.8. и 5.9. устанавливаются в процентах, абсолютный размер каждой выплаты исчисляется исходя из оклада (должностного оклада), ставки заработной платы без учета других выплат компенсационного и стимулирующего характера, устанавливаемого пропорционально отработанному времени, но не может рассчитываться более чем на один оклад (должностной оклад), ставку заработной платы, предусмотренных настоящим Положением».</w:t>
      </w:r>
    </w:p>
    <w:p w14:paraId="15BF23F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1.2.2. Абзац первый пункта 5.2.1 изложить в следующей редакции:</w:t>
      </w:r>
    </w:p>
    <w:p w14:paraId="41B76CC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«5.2.1. Ежемесячная надбавка за интенсивность труда устанавливается водителям автомобилей за управление транспортными средствами различных категорий».</w:t>
      </w:r>
    </w:p>
    <w:p w14:paraId="332E179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1.2.3. Пункт 5.3 изложить в следующей редакции:</w:t>
      </w:r>
    </w:p>
    <w:p w14:paraId="286F863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 Ежемесячная надбавка за наличие квалификационной категории педагогическим работникам устанавливается в следующих размерах:</w:t>
      </w:r>
    </w:p>
    <w:p w14:paraId="21A3418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наличии первой квалификационной категории - 5 процентов;</w:t>
      </w:r>
    </w:p>
    <w:p w14:paraId="0D9CA26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наличии высшей квалификационной категории - 10 процентов;</w:t>
      </w:r>
    </w:p>
    <w:p w14:paraId="464C5CD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Установление размера надбавки к окладу (должностному окладу) за наличие квалификационной категории работникам образовательного учреждения производится в соответствии с приказом руководителя образовательного учреждения со дня вынесения решения аттестационной комиссией».</w:t>
      </w:r>
    </w:p>
    <w:p w14:paraId="6D4B59B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1.2.4. В пункте 5.4:</w:t>
      </w:r>
    </w:p>
    <w:p w14:paraId="0CCBA29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1.2.4.1. В абзаце первом слова «рекомендуется устанавливать ежемесячную надбавку» заменить словами «устанавливается ежемесячная надбавка».</w:t>
      </w:r>
    </w:p>
    <w:p w14:paraId="03D7F08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1.2.4.2. Абзацы второй – пятый изложить в следующей редакции:</w:t>
      </w:r>
    </w:p>
    <w:p w14:paraId="5D572D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«стаж работы от 2 до 5 лет – 4 процентов;</w:t>
      </w:r>
    </w:p>
    <w:p w14:paraId="63B9B0F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стаж работы от 5 до 10 лет – 8 процентов;</w:t>
      </w:r>
    </w:p>
    <w:p w14:paraId="75C3C7A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стаж работы от 10 до 20 лет – 12 процентов;</w:t>
      </w:r>
    </w:p>
    <w:p w14:paraId="10C29DA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стаж работы 20 и более лет – 15 процентов.».</w:t>
      </w:r>
    </w:p>
    <w:p w14:paraId="23AA80D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1.2.5. В абзаце первом пункта 5.5 слова «рекомендуется устанавливать надбавку» заменить словами «устанавливается ежемесячная надбавка».</w:t>
      </w:r>
    </w:p>
    <w:p w14:paraId="4CE2B00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1.2.6. Дополнить раздел пунктами 5.8, 5.9 следующего содержания:</w:t>
      </w:r>
    </w:p>
    <w:p w14:paraId="7860AB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«5.8.Ежемесячная надбавка за работу в сельской местности устанавливается руководителям и специалистам образовательных организаций, расположенных в сельских населенных пунктах, в размере 25 процентов к окладу (должностному окладу), ставке заработной платы.</w:t>
      </w:r>
    </w:p>
    <w:p w14:paraId="5AEC280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5.9.Ежемесячная надбавка педагогическим работникам государственных образовательных организаций, окончившим образовательные организации высшего образования или профессиональные образовательные организации, первые три года после окончания образовательной организации устанавливается в размере 30 процентов к окладу (должностному окладу), ставке заработной платы».</w:t>
      </w:r>
    </w:p>
    <w:p w14:paraId="36ABDBA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1.3.Приложения 1, 2 к Положению изложить в редакции:</w:t>
      </w:r>
    </w:p>
    <w:p w14:paraId="747B3625">
      <w:pPr>
        <w:pStyle w:val="7"/>
        <w:ind w:left="5245"/>
        <w:jc w:val="right"/>
        <w:outlineLvl w:val="1"/>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Приложение 1</w:t>
      </w:r>
    </w:p>
    <w:p w14:paraId="289C031A">
      <w:pPr>
        <w:spacing w:after="0" w:line="240" w:lineRule="atLeast"/>
        <w:jc w:val="right"/>
        <w:rPr>
          <w:rFonts w:ascii="Times New Roman" w:hAnsi="Times New Roman" w:cs="Times New Roman"/>
          <w:color w:val="000000"/>
        </w:rPr>
      </w:pPr>
      <w:r>
        <w:rPr>
          <w:rFonts w:ascii="Times New Roman" w:hAnsi="Times New Roman" w:cs="Times New Roman" w:eastAsiaTheme="minorHAnsi"/>
          <w:sz w:val="28"/>
          <w:szCs w:val="28"/>
          <w:lang w:eastAsia="en-US"/>
        </w:rPr>
        <w:t xml:space="preserve"> </w:t>
      </w:r>
      <w:r>
        <w:rPr>
          <w:rFonts w:ascii="Times New Roman" w:hAnsi="Times New Roman" w:cs="Times New Roman"/>
          <w:color w:val="000000"/>
          <w:sz w:val="20"/>
          <w:szCs w:val="20"/>
        </w:rPr>
        <w:t xml:space="preserve">к </w:t>
      </w:r>
      <w:r>
        <w:rPr>
          <w:rFonts w:ascii="Times New Roman" w:hAnsi="Times New Roman" w:cs="Times New Roman"/>
          <w:color w:val="000000"/>
        </w:rPr>
        <w:t>Положению о системе  оплаты  труда работников</w:t>
      </w:r>
    </w:p>
    <w:p w14:paraId="17883104">
      <w:pPr>
        <w:pStyle w:val="7"/>
        <w:ind w:left="3402"/>
        <w:jc w:val="right"/>
        <w:rPr>
          <w:rFonts w:ascii="Times New Roman" w:hAnsi="Times New Roman" w:cs="Times New Roman" w:eastAsiaTheme="minorHAnsi"/>
          <w:sz w:val="28"/>
          <w:szCs w:val="28"/>
          <w:lang w:eastAsia="en-US"/>
        </w:rPr>
      </w:pPr>
      <w:r>
        <w:rPr>
          <w:rFonts w:ascii="Times New Roman" w:hAnsi="Times New Roman" w:cs="Times New Roman"/>
          <w:color w:val="000000"/>
          <w:sz w:val="20"/>
          <w:szCs w:val="20"/>
        </w:rPr>
        <w:t xml:space="preserve"> </w:t>
      </w:r>
      <w:r>
        <w:rPr>
          <w:rFonts w:ascii="Times New Roman" w:hAnsi="Times New Roman" w:cs="Times New Roman"/>
          <w:color w:val="000000"/>
        </w:rPr>
        <w:t>муниципальных бюджетных общеобразовательных учреждений Красногорского района, реализующих программы начального общего, основного общего, среднего (полного) общего образования, муниципальных образовательных учреждений дополнительного образования детей, муниципальных дошкольных образовательных учреждений находящихся в ведении Красногорского района</w:t>
      </w:r>
    </w:p>
    <w:p w14:paraId="2E46343D">
      <w:pPr>
        <w:pStyle w:val="8"/>
        <w:jc w:val="center"/>
        <w:rPr>
          <w:rFonts w:ascii="Times New Roman" w:hAnsi="Times New Roman" w:eastAsiaTheme="minorHAnsi" w:cstheme="minorBidi"/>
          <w:b w:val="0"/>
          <w:bCs w:val="0"/>
          <w:sz w:val="28"/>
          <w:szCs w:val="28"/>
          <w:lang w:eastAsia="en-US"/>
        </w:rPr>
      </w:pPr>
      <w:bookmarkStart w:id="0" w:name="P325"/>
      <w:bookmarkEnd w:id="0"/>
    </w:p>
    <w:p w14:paraId="51393CAF">
      <w:pPr>
        <w:pStyle w:val="8"/>
        <w:jc w:val="center"/>
        <w:rPr>
          <w:rFonts w:ascii="Times New Roman" w:hAnsi="Times New Roman" w:eastAsiaTheme="minorHAnsi" w:cstheme="minorBidi"/>
          <w:b w:val="0"/>
          <w:bCs w:val="0"/>
          <w:sz w:val="28"/>
          <w:szCs w:val="28"/>
          <w:lang w:eastAsia="en-US"/>
        </w:rPr>
      </w:pPr>
      <w:r>
        <w:rPr>
          <w:rFonts w:ascii="Times New Roman" w:hAnsi="Times New Roman" w:eastAsiaTheme="minorHAnsi" w:cstheme="minorBidi"/>
          <w:b w:val="0"/>
          <w:bCs w:val="0"/>
          <w:sz w:val="28"/>
          <w:szCs w:val="28"/>
          <w:lang w:eastAsia="en-US"/>
        </w:rPr>
        <w:t>Минимальные оклады (должностные оклады), ставки заработной</w:t>
      </w:r>
    </w:p>
    <w:p w14:paraId="186153C6">
      <w:pPr>
        <w:pStyle w:val="8"/>
        <w:jc w:val="center"/>
        <w:rPr>
          <w:rFonts w:ascii="Times New Roman" w:hAnsi="Times New Roman" w:eastAsiaTheme="minorHAnsi" w:cstheme="minorBidi"/>
          <w:b w:val="0"/>
          <w:bCs w:val="0"/>
          <w:sz w:val="28"/>
          <w:szCs w:val="28"/>
          <w:lang w:eastAsia="en-US"/>
        </w:rPr>
      </w:pPr>
      <w:r>
        <w:rPr>
          <w:rFonts w:ascii="Times New Roman" w:hAnsi="Times New Roman" w:eastAsiaTheme="minorHAnsi" w:cstheme="minorBidi"/>
          <w:b w:val="0"/>
          <w:bCs w:val="0"/>
          <w:sz w:val="28"/>
          <w:szCs w:val="28"/>
          <w:lang w:eastAsia="en-US"/>
        </w:rPr>
        <w:t>платы по профессиональным квалификационным группам</w:t>
      </w:r>
    </w:p>
    <w:p w14:paraId="03343936">
      <w:pPr>
        <w:pStyle w:val="8"/>
        <w:jc w:val="center"/>
        <w:rPr>
          <w:rFonts w:ascii="Times New Roman" w:hAnsi="Times New Roman" w:eastAsiaTheme="minorHAnsi" w:cstheme="minorBidi"/>
          <w:b w:val="0"/>
          <w:bCs w:val="0"/>
          <w:sz w:val="28"/>
          <w:szCs w:val="28"/>
          <w:lang w:eastAsia="en-US"/>
        </w:rPr>
      </w:pPr>
      <w:r>
        <w:rPr>
          <w:rFonts w:ascii="Times New Roman" w:hAnsi="Times New Roman" w:eastAsiaTheme="minorHAnsi" w:cstheme="minorBidi"/>
          <w:b w:val="0"/>
          <w:bCs w:val="0"/>
          <w:sz w:val="28"/>
          <w:szCs w:val="28"/>
          <w:lang w:eastAsia="en-US"/>
        </w:rPr>
        <w:t>должностей и профессий</w:t>
      </w:r>
    </w:p>
    <w:p w14:paraId="3DDB1EE9">
      <w:pPr>
        <w:pStyle w:val="8"/>
        <w:jc w:val="center"/>
        <w:rPr>
          <w:rFonts w:ascii="Times New Roman" w:hAnsi="Times New Roman" w:eastAsiaTheme="minorHAnsi" w:cstheme="minorBidi"/>
          <w:b w:val="0"/>
          <w:bCs w:val="0"/>
          <w:sz w:val="28"/>
          <w:szCs w:val="28"/>
          <w:lang w:eastAsia="en-US"/>
        </w:rPr>
      </w:pPr>
    </w:p>
    <w:p w14:paraId="4CCBD314">
      <w:pPr>
        <w:pStyle w:val="8"/>
        <w:jc w:val="center"/>
        <w:outlineLvl w:val="2"/>
        <w:rPr>
          <w:rFonts w:ascii="Times New Roman" w:hAnsi="Times New Roman" w:eastAsiaTheme="minorHAnsi" w:cstheme="minorBidi"/>
          <w:b w:val="0"/>
          <w:bCs w:val="0"/>
          <w:sz w:val="28"/>
          <w:szCs w:val="28"/>
          <w:lang w:eastAsia="en-US"/>
        </w:rPr>
      </w:pPr>
      <w:r>
        <w:rPr>
          <w:rFonts w:ascii="Times New Roman" w:hAnsi="Times New Roman" w:eastAsiaTheme="minorHAnsi" w:cstheme="minorBidi"/>
          <w:b w:val="0"/>
          <w:bCs w:val="0"/>
          <w:sz w:val="28"/>
          <w:szCs w:val="28"/>
          <w:lang w:eastAsia="en-US"/>
        </w:rPr>
        <w:t>Должности работников образования</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2330"/>
        <w:gridCol w:w="4962"/>
        <w:gridCol w:w="1769"/>
      </w:tblGrid>
      <w:tr w14:paraId="5D792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544" w:hRule="atLeast"/>
        </w:trPr>
        <w:tc>
          <w:tcPr>
            <w:tcW w:w="2330" w:type="dxa"/>
          </w:tcPr>
          <w:p w14:paraId="6BAAF032">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Квалификационные уровни</w:t>
            </w:r>
          </w:p>
        </w:tc>
        <w:tc>
          <w:tcPr>
            <w:tcW w:w="4962" w:type="dxa"/>
          </w:tcPr>
          <w:p w14:paraId="65657C2C">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Должности, отнесенные</w:t>
            </w:r>
          </w:p>
          <w:p w14:paraId="0EE3A49F">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к квалификационным уровням</w:t>
            </w:r>
          </w:p>
        </w:tc>
        <w:tc>
          <w:tcPr>
            <w:tcW w:w="1769" w:type="dxa"/>
          </w:tcPr>
          <w:p w14:paraId="25155C27">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Оклады (должностные оклады), ставки заработной платы, рублей</w:t>
            </w:r>
          </w:p>
        </w:tc>
      </w:tr>
      <w:tr w14:paraId="0850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061" w:type="dxa"/>
            <w:gridSpan w:val="3"/>
          </w:tcPr>
          <w:p w14:paraId="552AC877">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Профессиональная квалификационная группа должностей педагогических работников</w:t>
            </w:r>
          </w:p>
        </w:tc>
      </w:tr>
      <w:tr w14:paraId="0BAC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330" w:type="dxa"/>
          </w:tcPr>
          <w:p w14:paraId="031230B1">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1 квалификационный уровень</w:t>
            </w:r>
          </w:p>
        </w:tc>
        <w:tc>
          <w:tcPr>
            <w:tcW w:w="4962" w:type="dxa"/>
          </w:tcPr>
          <w:p w14:paraId="23B354FD">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музыкальный руководитель</w:t>
            </w:r>
          </w:p>
        </w:tc>
        <w:tc>
          <w:tcPr>
            <w:tcW w:w="1769" w:type="dxa"/>
          </w:tcPr>
          <w:p w14:paraId="16223F04">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18 909</w:t>
            </w:r>
          </w:p>
        </w:tc>
      </w:tr>
      <w:tr w14:paraId="5F883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330" w:type="dxa"/>
          </w:tcPr>
          <w:p w14:paraId="2EC51C36">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2 квалификационный уровень</w:t>
            </w:r>
          </w:p>
        </w:tc>
        <w:tc>
          <w:tcPr>
            <w:tcW w:w="4962" w:type="dxa"/>
          </w:tcPr>
          <w:p w14:paraId="4F053B16">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педагог дополнительного образования; педагог-организатор; социальный педагог</w:t>
            </w:r>
          </w:p>
        </w:tc>
        <w:tc>
          <w:tcPr>
            <w:tcW w:w="1769" w:type="dxa"/>
          </w:tcPr>
          <w:p w14:paraId="3717F853">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20 014</w:t>
            </w:r>
          </w:p>
        </w:tc>
      </w:tr>
      <w:tr w14:paraId="38F62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330" w:type="dxa"/>
          </w:tcPr>
          <w:p w14:paraId="57920AE1">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3 квалификационный уровень</w:t>
            </w:r>
          </w:p>
        </w:tc>
        <w:tc>
          <w:tcPr>
            <w:tcW w:w="4962" w:type="dxa"/>
          </w:tcPr>
          <w:p w14:paraId="4E45F25E">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воспитатель; методист; педагог-психолог; старший педагог дополнительного образования</w:t>
            </w:r>
          </w:p>
        </w:tc>
        <w:tc>
          <w:tcPr>
            <w:tcW w:w="1769" w:type="dxa"/>
          </w:tcPr>
          <w:p w14:paraId="7A101EA1">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21 048</w:t>
            </w:r>
          </w:p>
        </w:tc>
      </w:tr>
      <w:tr w14:paraId="2794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330" w:type="dxa"/>
          </w:tcPr>
          <w:p w14:paraId="49E48454">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4 квалификационный уровень</w:t>
            </w:r>
          </w:p>
        </w:tc>
        <w:tc>
          <w:tcPr>
            <w:tcW w:w="4962" w:type="dxa"/>
          </w:tcPr>
          <w:p w14:paraId="6B84B7B9">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преподаватель-организатор основ безопасности и защиты Родины; руководитель физического воспитания; учитель; учитель-дефектолог; учитель-логопед (логопед), педагог-библиотекарь</w:t>
            </w:r>
          </w:p>
        </w:tc>
        <w:tc>
          <w:tcPr>
            <w:tcW w:w="1769" w:type="dxa"/>
          </w:tcPr>
          <w:p w14:paraId="35DC68AE">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22 774</w:t>
            </w:r>
          </w:p>
        </w:tc>
      </w:tr>
      <w:tr w14:paraId="5813C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061" w:type="dxa"/>
            <w:gridSpan w:val="3"/>
          </w:tcPr>
          <w:p w14:paraId="5BD3751C">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Профессиональная квалификационная группа должностей работников учебно-вспомогательного персонала первого уровня</w:t>
            </w:r>
          </w:p>
        </w:tc>
      </w:tr>
      <w:tr w14:paraId="33B2E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330" w:type="dxa"/>
          </w:tcPr>
          <w:p w14:paraId="7E1AD980">
            <w:pPr>
              <w:pStyle w:val="7"/>
              <w:rPr>
                <w:rFonts w:ascii="Times New Roman" w:hAnsi="Times New Roman" w:eastAsiaTheme="minorHAnsi" w:cstheme="minorBidi"/>
                <w:sz w:val="24"/>
                <w:szCs w:val="24"/>
                <w:lang w:eastAsia="en-US"/>
              </w:rPr>
            </w:pPr>
          </w:p>
        </w:tc>
        <w:tc>
          <w:tcPr>
            <w:tcW w:w="4962" w:type="dxa"/>
          </w:tcPr>
          <w:p w14:paraId="1D757DA2">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помощник воспитателя</w:t>
            </w:r>
          </w:p>
        </w:tc>
        <w:tc>
          <w:tcPr>
            <w:tcW w:w="1769" w:type="dxa"/>
          </w:tcPr>
          <w:p w14:paraId="10041930">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13 338</w:t>
            </w:r>
          </w:p>
        </w:tc>
      </w:tr>
    </w:tbl>
    <w:p w14:paraId="592CA333">
      <w:pPr>
        <w:pStyle w:val="7"/>
        <w:jc w:val="both"/>
        <w:rPr>
          <w:rFonts w:ascii="Times New Roman" w:hAnsi="Times New Roman" w:eastAsiaTheme="minorHAnsi" w:cstheme="minorBidi"/>
          <w:sz w:val="28"/>
          <w:szCs w:val="28"/>
          <w:lang w:eastAsia="en-US"/>
        </w:rPr>
      </w:pPr>
    </w:p>
    <w:p w14:paraId="499AA172">
      <w:pPr>
        <w:pStyle w:val="8"/>
        <w:jc w:val="center"/>
        <w:outlineLvl w:val="2"/>
        <w:rPr>
          <w:rFonts w:ascii="Times New Roman" w:hAnsi="Times New Roman" w:eastAsiaTheme="minorHAnsi" w:cstheme="minorBidi"/>
          <w:b w:val="0"/>
          <w:bCs w:val="0"/>
          <w:sz w:val="28"/>
          <w:szCs w:val="28"/>
          <w:lang w:eastAsia="en-US"/>
        </w:rPr>
      </w:pPr>
      <w:r>
        <w:rPr>
          <w:rFonts w:ascii="Times New Roman" w:hAnsi="Times New Roman" w:eastAsiaTheme="minorHAnsi" w:cstheme="minorBidi"/>
          <w:b w:val="0"/>
          <w:bCs w:val="0"/>
          <w:sz w:val="28"/>
          <w:szCs w:val="28"/>
          <w:lang w:eastAsia="en-US"/>
        </w:rPr>
        <w:t>Минимальные размеры окладов по профессиональной</w:t>
      </w:r>
    </w:p>
    <w:p w14:paraId="113E44C8">
      <w:pPr>
        <w:pStyle w:val="8"/>
        <w:jc w:val="center"/>
        <w:rPr>
          <w:rFonts w:ascii="Times New Roman" w:hAnsi="Times New Roman" w:eastAsiaTheme="minorHAnsi" w:cstheme="minorBidi"/>
          <w:b w:val="0"/>
          <w:bCs w:val="0"/>
          <w:sz w:val="28"/>
          <w:szCs w:val="28"/>
          <w:lang w:eastAsia="en-US"/>
        </w:rPr>
      </w:pPr>
      <w:r>
        <w:rPr>
          <w:rFonts w:ascii="Times New Roman" w:hAnsi="Times New Roman" w:eastAsiaTheme="minorHAnsi" w:cstheme="minorBidi"/>
          <w:b w:val="0"/>
          <w:bCs w:val="0"/>
          <w:sz w:val="28"/>
          <w:szCs w:val="28"/>
          <w:lang w:eastAsia="en-US"/>
        </w:rPr>
        <w:t>квалификационной группе «Общеотраслевые должности</w:t>
      </w:r>
    </w:p>
    <w:p w14:paraId="76465405">
      <w:pPr>
        <w:pStyle w:val="8"/>
        <w:jc w:val="center"/>
        <w:rPr>
          <w:rFonts w:ascii="Times New Roman" w:hAnsi="Times New Roman" w:eastAsiaTheme="minorHAnsi" w:cstheme="minorBidi"/>
          <w:b w:val="0"/>
          <w:bCs w:val="0"/>
          <w:sz w:val="28"/>
          <w:szCs w:val="28"/>
          <w:lang w:eastAsia="en-US"/>
        </w:rPr>
      </w:pPr>
      <w:r>
        <w:rPr>
          <w:rFonts w:ascii="Times New Roman" w:hAnsi="Times New Roman" w:eastAsiaTheme="minorHAnsi" w:cstheme="minorBidi"/>
          <w:b w:val="0"/>
          <w:bCs w:val="0"/>
          <w:sz w:val="28"/>
          <w:szCs w:val="28"/>
          <w:lang w:eastAsia="en-US"/>
        </w:rPr>
        <w:t>руководителей, специалистов и служащих»</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2330"/>
        <w:gridCol w:w="4962"/>
        <w:gridCol w:w="1769"/>
      </w:tblGrid>
      <w:tr w14:paraId="196B2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061" w:type="dxa"/>
            <w:gridSpan w:val="3"/>
          </w:tcPr>
          <w:p w14:paraId="285C1D34">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Профессиональная квалификационная группа «Общеотраслевые должности служащих первого уровня»</w:t>
            </w:r>
          </w:p>
        </w:tc>
      </w:tr>
      <w:tr w14:paraId="5DE3F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330" w:type="dxa"/>
          </w:tcPr>
          <w:p w14:paraId="0DA43096">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1 квалификационный уровень</w:t>
            </w:r>
          </w:p>
        </w:tc>
        <w:tc>
          <w:tcPr>
            <w:tcW w:w="4962" w:type="dxa"/>
          </w:tcPr>
          <w:p w14:paraId="32442947">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делопроизводитель, секретарь</w:t>
            </w:r>
          </w:p>
        </w:tc>
        <w:tc>
          <w:tcPr>
            <w:tcW w:w="1769" w:type="dxa"/>
          </w:tcPr>
          <w:p w14:paraId="5DE8B2FB">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13 836</w:t>
            </w:r>
          </w:p>
        </w:tc>
      </w:tr>
      <w:tr w14:paraId="470F2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330" w:type="dxa"/>
          </w:tcPr>
          <w:p w14:paraId="72EF1772">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2 квалификационный уровень</w:t>
            </w:r>
          </w:p>
        </w:tc>
        <w:tc>
          <w:tcPr>
            <w:tcW w:w="4962" w:type="dxa"/>
          </w:tcPr>
          <w:p w14:paraId="12BFC140">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1769" w:type="dxa"/>
          </w:tcPr>
          <w:p w14:paraId="64EF6181">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14 168</w:t>
            </w:r>
          </w:p>
        </w:tc>
      </w:tr>
      <w:tr w14:paraId="7526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061" w:type="dxa"/>
            <w:gridSpan w:val="3"/>
          </w:tcPr>
          <w:p w14:paraId="37E679C0">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Профессиональная квалификационная группа «Общеотраслевые должности служащих второго уровня»</w:t>
            </w:r>
          </w:p>
        </w:tc>
      </w:tr>
      <w:tr w14:paraId="6266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330" w:type="dxa"/>
          </w:tcPr>
          <w:p w14:paraId="7BE97C87">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1 квалификационный уровень</w:t>
            </w:r>
          </w:p>
        </w:tc>
        <w:tc>
          <w:tcPr>
            <w:tcW w:w="4962" w:type="dxa"/>
          </w:tcPr>
          <w:p w14:paraId="10B031AF">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администратор, диспетчер, инспектор по кадрам, лаборант, секретарь руководителя, техник</w:t>
            </w:r>
          </w:p>
        </w:tc>
        <w:tc>
          <w:tcPr>
            <w:tcW w:w="1769" w:type="dxa"/>
          </w:tcPr>
          <w:p w14:paraId="2D66F200">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14 168</w:t>
            </w:r>
          </w:p>
        </w:tc>
      </w:tr>
      <w:tr w14:paraId="25C42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330" w:type="dxa"/>
          </w:tcPr>
          <w:p w14:paraId="707797ED">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2 квалификационный уровень</w:t>
            </w:r>
          </w:p>
        </w:tc>
        <w:tc>
          <w:tcPr>
            <w:tcW w:w="4962" w:type="dxa"/>
          </w:tcPr>
          <w:p w14:paraId="68776493">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заведующий архивом, заведующий складом, заведующий хозяйством. Должности служащих первого квалификационного уровня, по которым может устанавливаться производное должностное наименование «старший»</w:t>
            </w:r>
          </w:p>
        </w:tc>
        <w:tc>
          <w:tcPr>
            <w:tcW w:w="1769" w:type="dxa"/>
          </w:tcPr>
          <w:p w14:paraId="19657791">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14 503</w:t>
            </w:r>
          </w:p>
        </w:tc>
      </w:tr>
      <w:tr w14:paraId="0CAC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330" w:type="dxa"/>
          </w:tcPr>
          <w:p w14:paraId="6D2262BE">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3 квалификационный уровень</w:t>
            </w:r>
          </w:p>
        </w:tc>
        <w:tc>
          <w:tcPr>
            <w:tcW w:w="4962" w:type="dxa"/>
          </w:tcPr>
          <w:p w14:paraId="3B1EBC88">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 xml:space="preserve"> заведующий производством (шеф-повар), заведующий столовой, начальник хозяйственного отдела</w:t>
            </w:r>
          </w:p>
        </w:tc>
        <w:tc>
          <w:tcPr>
            <w:tcW w:w="1769" w:type="dxa"/>
          </w:tcPr>
          <w:p w14:paraId="1958F6CF">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14 837</w:t>
            </w:r>
          </w:p>
        </w:tc>
      </w:tr>
      <w:tr w14:paraId="07B1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330" w:type="dxa"/>
          </w:tcPr>
          <w:p w14:paraId="53B0C99E">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4 квалификационный уровень</w:t>
            </w:r>
          </w:p>
        </w:tc>
        <w:tc>
          <w:tcPr>
            <w:tcW w:w="4962" w:type="dxa"/>
          </w:tcPr>
          <w:p w14:paraId="683E271F">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Механик, должности служащих первого квалификационного уровня, по которым может устанавливаться производное должностное наименование «ведущий»</w:t>
            </w:r>
          </w:p>
        </w:tc>
        <w:tc>
          <w:tcPr>
            <w:tcW w:w="1769" w:type="dxa"/>
          </w:tcPr>
          <w:p w14:paraId="2731EA4B">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15 169</w:t>
            </w:r>
          </w:p>
        </w:tc>
      </w:tr>
      <w:tr w14:paraId="4F590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330" w:type="dxa"/>
          </w:tcPr>
          <w:p w14:paraId="4B910B34">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5 квалификационный уровень</w:t>
            </w:r>
          </w:p>
        </w:tc>
        <w:tc>
          <w:tcPr>
            <w:tcW w:w="4962" w:type="dxa"/>
          </w:tcPr>
          <w:p w14:paraId="387C2A44">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начальник гаража, начальник (заведующий) мастерской</w:t>
            </w:r>
          </w:p>
        </w:tc>
        <w:tc>
          <w:tcPr>
            <w:tcW w:w="1769" w:type="dxa"/>
          </w:tcPr>
          <w:p w14:paraId="2EBCAE5B">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15 504</w:t>
            </w:r>
          </w:p>
        </w:tc>
      </w:tr>
    </w:tbl>
    <w:p w14:paraId="7C0E2818">
      <w:pPr>
        <w:pStyle w:val="8"/>
        <w:jc w:val="center"/>
        <w:outlineLvl w:val="2"/>
        <w:rPr>
          <w:rFonts w:ascii="Times New Roman" w:hAnsi="Times New Roman" w:eastAsiaTheme="minorHAnsi" w:cstheme="minorBidi"/>
          <w:b w:val="0"/>
          <w:bCs w:val="0"/>
          <w:sz w:val="28"/>
          <w:szCs w:val="28"/>
          <w:lang w:eastAsia="en-US"/>
        </w:rPr>
      </w:pPr>
      <w:r>
        <w:rPr>
          <w:rFonts w:ascii="Times New Roman" w:hAnsi="Times New Roman" w:eastAsiaTheme="minorHAnsi" w:cstheme="minorBidi"/>
          <w:b w:val="0"/>
          <w:bCs w:val="0"/>
          <w:sz w:val="28"/>
          <w:szCs w:val="28"/>
          <w:lang w:eastAsia="en-US"/>
        </w:rPr>
        <w:t>Минимальные размеры окладов</w:t>
      </w:r>
    </w:p>
    <w:p w14:paraId="18D1576C">
      <w:pPr>
        <w:pStyle w:val="8"/>
        <w:jc w:val="center"/>
        <w:rPr>
          <w:rFonts w:ascii="Times New Roman" w:hAnsi="Times New Roman" w:eastAsiaTheme="minorHAnsi" w:cstheme="minorBidi"/>
          <w:b w:val="0"/>
          <w:bCs w:val="0"/>
          <w:sz w:val="28"/>
          <w:szCs w:val="28"/>
          <w:lang w:eastAsia="en-US"/>
        </w:rPr>
      </w:pPr>
      <w:r>
        <w:rPr>
          <w:rFonts w:ascii="Times New Roman" w:hAnsi="Times New Roman" w:eastAsiaTheme="minorHAnsi" w:cstheme="minorBidi"/>
          <w:b w:val="0"/>
          <w:bCs w:val="0"/>
          <w:sz w:val="28"/>
          <w:szCs w:val="28"/>
          <w:lang w:eastAsia="en-US"/>
        </w:rPr>
        <w:t>по профессиональной квалификационной группе</w:t>
      </w:r>
    </w:p>
    <w:p w14:paraId="4EF32058">
      <w:pPr>
        <w:pStyle w:val="8"/>
        <w:jc w:val="center"/>
        <w:rPr>
          <w:rFonts w:ascii="Times New Roman" w:hAnsi="Times New Roman" w:eastAsiaTheme="minorHAnsi" w:cstheme="minorBidi"/>
          <w:b w:val="0"/>
          <w:bCs w:val="0"/>
          <w:sz w:val="28"/>
          <w:szCs w:val="28"/>
          <w:lang w:eastAsia="en-US"/>
        </w:rPr>
      </w:pPr>
      <w:r>
        <w:rPr>
          <w:rFonts w:ascii="Times New Roman" w:hAnsi="Times New Roman" w:eastAsiaTheme="minorHAnsi" w:cstheme="minorBidi"/>
          <w:b w:val="0"/>
          <w:bCs w:val="0"/>
          <w:sz w:val="28"/>
          <w:szCs w:val="28"/>
          <w:lang w:eastAsia="en-US"/>
        </w:rPr>
        <w:t>«Общеотраслевые профессии рабочих первого уровня»</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2330"/>
        <w:gridCol w:w="4962"/>
        <w:gridCol w:w="1769"/>
      </w:tblGrid>
      <w:tr w14:paraId="4D836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330" w:type="dxa"/>
          </w:tcPr>
          <w:p w14:paraId="60AC2195">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Квалификационный уровень</w:t>
            </w:r>
          </w:p>
        </w:tc>
        <w:tc>
          <w:tcPr>
            <w:tcW w:w="4962" w:type="dxa"/>
          </w:tcPr>
          <w:p w14:paraId="429E30DA">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Профессии рабочих, отнесенные к квалификационным уровням</w:t>
            </w:r>
          </w:p>
        </w:tc>
        <w:tc>
          <w:tcPr>
            <w:tcW w:w="1769" w:type="dxa"/>
          </w:tcPr>
          <w:p w14:paraId="4648612C">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 xml:space="preserve">Оклады, </w:t>
            </w:r>
          </w:p>
          <w:p w14:paraId="6E453C7E">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рублей</w:t>
            </w:r>
          </w:p>
        </w:tc>
      </w:tr>
      <w:tr w14:paraId="50AA4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330" w:type="dxa"/>
          </w:tcPr>
          <w:p w14:paraId="0DB3ACA1">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1 квалификационный уровень</w:t>
            </w:r>
          </w:p>
        </w:tc>
        <w:tc>
          <w:tcPr>
            <w:tcW w:w="4962" w:type="dxa"/>
          </w:tcPr>
          <w:p w14:paraId="210E948B">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наименование профессий рабочих, по которым предусмотрено присвоение 1-го, 2-го и 3-го квалификационных разрядов в соответствии с Единым тарифно-квалификационным справочником работ и профессий рабочих (кухонный рабочий, повар, рабочий по комплексному обслуживанию и ремонту зданий, машинист по стирке и ремонту спецодежды, машинист (кочегар) котельной, подсобный рабочий, электромонтер по ремонту и обслуживанию электрооборудования, слесарь-электрик по ремонту электрооборудования);уборщик служебных помещений,  гардеробщик, сторож (вахтер), кастелянша</w:t>
            </w:r>
          </w:p>
        </w:tc>
        <w:tc>
          <w:tcPr>
            <w:tcW w:w="1769" w:type="dxa"/>
          </w:tcPr>
          <w:p w14:paraId="07F6E5F9">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13 338</w:t>
            </w:r>
          </w:p>
        </w:tc>
      </w:tr>
      <w:tr w14:paraId="235D9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330" w:type="dxa"/>
          </w:tcPr>
          <w:p w14:paraId="23E138C2">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2 квалификационный уровень</w:t>
            </w:r>
          </w:p>
        </w:tc>
        <w:tc>
          <w:tcPr>
            <w:tcW w:w="4962" w:type="dxa"/>
          </w:tcPr>
          <w:p w14:paraId="6791FCFA">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профессии рабочих, отнесенные к первому квалификационному уровню, при выполнении работ по профессии с производным наименованием «старший»</w:t>
            </w:r>
          </w:p>
        </w:tc>
        <w:tc>
          <w:tcPr>
            <w:tcW w:w="1769" w:type="dxa"/>
          </w:tcPr>
          <w:p w14:paraId="013DDD2A">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13 836</w:t>
            </w:r>
          </w:p>
        </w:tc>
      </w:tr>
    </w:tbl>
    <w:p w14:paraId="4581187B">
      <w:pPr>
        <w:pStyle w:val="7"/>
        <w:jc w:val="both"/>
        <w:rPr>
          <w:rFonts w:ascii="Times New Roman" w:hAnsi="Times New Roman" w:eastAsiaTheme="minorHAnsi" w:cstheme="minorBidi"/>
          <w:sz w:val="28"/>
          <w:szCs w:val="28"/>
          <w:lang w:eastAsia="en-US"/>
        </w:rPr>
      </w:pPr>
    </w:p>
    <w:p w14:paraId="1BBD391D">
      <w:pPr>
        <w:pStyle w:val="8"/>
        <w:jc w:val="center"/>
        <w:outlineLvl w:val="2"/>
        <w:rPr>
          <w:rFonts w:ascii="Times New Roman" w:hAnsi="Times New Roman" w:eastAsiaTheme="minorHAnsi" w:cstheme="minorBidi"/>
          <w:b w:val="0"/>
          <w:bCs w:val="0"/>
          <w:sz w:val="28"/>
          <w:szCs w:val="28"/>
          <w:lang w:eastAsia="en-US"/>
        </w:rPr>
      </w:pPr>
      <w:r>
        <w:rPr>
          <w:rFonts w:ascii="Times New Roman" w:hAnsi="Times New Roman" w:eastAsiaTheme="minorHAnsi" w:cstheme="minorBidi"/>
          <w:b w:val="0"/>
          <w:bCs w:val="0"/>
          <w:sz w:val="28"/>
          <w:szCs w:val="28"/>
          <w:lang w:eastAsia="en-US"/>
        </w:rPr>
        <w:t>Минимальные размеры окладов</w:t>
      </w:r>
    </w:p>
    <w:p w14:paraId="2CD8C5EC">
      <w:pPr>
        <w:pStyle w:val="8"/>
        <w:jc w:val="center"/>
        <w:rPr>
          <w:rFonts w:ascii="Times New Roman" w:hAnsi="Times New Roman" w:eastAsiaTheme="minorHAnsi" w:cstheme="minorBidi"/>
          <w:b w:val="0"/>
          <w:bCs w:val="0"/>
          <w:sz w:val="28"/>
          <w:szCs w:val="28"/>
          <w:lang w:eastAsia="en-US"/>
        </w:rPr>
      </w:pPr>
      <w:r>
        <w:rPr>
          <w:rFonts w:ascii="Times New Roman" w:hAnsi="Times New Roman" w:eastAsiaTheme="minorHAnsi" w:cstheme="minorBidi"/>
          <w:b w:val="0"/>
          <w:bCs w:val="0"/>
          <w:sz w:val="28"/>
          <w:szCs w:val="28"/>
          <w:lang w:eastAsia="en-US"/>
        </w:rPr>
        <w:t>по профессиональной квалификационной группе</w:t>
      </w:r>
    </w:p>
    <w:p w14:paraId="5BCFC449">
      <w:pPr>
        <w:pStyle w:val="8"/>
        <w:jc w:val="center"/>
        <w:rPr>
          <w:rFonts w:ascii="Times New Roman" w:hAnsi="Times New Roman" w:eastAsiaTheme="minorHAnsi" w:cstheme="minorBidi"/>
          <w:b w:val="0"/>
          <w:bCs w:val="0"/>
          <w:sz w:val="28"/>
          <w:szCs w:val="28"/>
          <w:lang w:eastAsia="en-US"/>
        </w:rPr>
      </w:pPr>
      <w:r>
        <w:rPr>
          <w:rFonts w:ascii="Times New Roman" w:hAnsi="Times New Roman" w:eastAsiaTheme="minorHAnsi" w:cstheme="minorBidi"/>
          <w:b w:val="0"/>
          <w:bCs w:val="0"/>
          <w:sz w:val="28"/>
          <w:szCs w:val="28"/>
          <w:lang w:eastAsia="en-US"/>
        </w:rPr>
        <w:t>«Общеотраслевые профессии рабочих второго уровня»</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408"/>
        <w:gridCol w:w="5884"/>
        <w:gridCol w:w="1769"/>
      </w:tblGrid>
      <w:tr w14:paraId="77AF0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08" w:type="dxa"/>
          </w:tcPr>
          <w:p w14:paraId="490A6776">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Квалификационный уровень</w:t>
            </w:r>
          </w:p>
        </w:tc>
        <w:tc>
          <w:tcPr>
            <w:tcW w:w="5884" w:type="dxa"/>
          </w:tcPr>
          <w:p w14:paraId="20BDE310">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Профессии рабочих, отнесенные</w:t>
            </w:r>
          </w:p>
          <w:p w14:paraId="30C1515B">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к квалификационным уровням</w:t>
            </w:r>
          </w:p>
        </w:tc>
        <w:tc>
          <w:tcPr>
            <w:tcW w:w="1769" w:type="dxa"/>
          </w:tcPr>
          <w:p w14:paraId="4A404E7E">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Оклады,</w:t>
            </w:r>
          </w:p>
          <w:p w14:paraId="3C83EC40">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 xml:space="preserve"> рублей</w:t>
            </w:r>
          </w:p>
        </w:tc>
      </w:tr>
      <w:tr w14:paraId="21567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408" w:type="dxa"/>
          </w:tcPr>
          <w:p w14:paraId="2EFAAA45">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1 квалификационный уровень</w:t>
            </w:r>
          </w:p>
        </w:tc>
        <w:tc>
          <w:tcPr>
            <w:tcW w:w="5884" w:type="dxa"/>
          </w:tcPr>
          <w:p w14:paraId="3D4972ED">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наименование профессий рабочих, по которым предусмотрено присвоение 4-го и 5-го квалификационных разрядов в соответствии с Единым тарифно-квалификационным справочником работ и профессий рабочих (машинист (кочегар) котельной, оператор электронно-вычислительных и вычислительных машин); водитель автомобиля</w:t>
            </w:r>
          </w:p>
        </w:tc>
        <w:tc>
          <w:tcPr>
            <w:tcW w:w="1769" w:type="dxa"/>
          </w:tcPr>
          <w:p w14:paraId="7F66728A">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14 336</w:t>
            </w:r>
          </w:p>
        </w:tc>
      </w:tr>
      <w:tr w14:paraId="10BB0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408" w:type="dxa"/>
          </w:tcPr>
          <w:p w14:paraId="4727A5C3">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2 квалификационный уровень</w:t>
            </w:r>
          </w:p>
        </w:tc>
        <w:tc>
          <w:tcPr>
            <w:tcW w:w="5884" w:type="dxa"/>
          </w:tcPr>
          <w:p w14:paraId="6443E8B6">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наименование профессий рабочих, по которым предусмотрено присвоение 6-го и 7-го квалификационных разрядов в соответствии с Единым тарифно-квалификационным справочником работ и профессий рабочих</w:t>
            </w:r>
          </w:p>
        </w:tc>
        <w:tc>
          <w:tcPr>
            <w:tcW w:w="1769" w:type="dxa"/>
          </w:tcPr>
          <w:p w14:paraId="3160D40A">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14 837</w:t>
            </w:r>
          </w:p>
        </w:tc>
      </w:tr>
      <w:tr w14:paraId="7612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408" w:type="dxa"/>
          </w:tcPr>
          <w:p w14:paraId="1BF5305D">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3 квалификационный уровень</w:t>
            </w:r>
          </w:p>
        </w:tc>
        <w:tc>
          <w:tcPr>
            <w:tcW w:w="5884" w:type="dxa"/>
          </w:tcPr>
          <w:p w14:paraId="07EAEEDE">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наименование профессий рабочих, по которым предусмотрено присвоение 8-го квалификационного разряда в соответствии с Единым тарифно-квалификационным справочником работ и профессий рабочих</w:t>
            </w:r>
          </w:p>
        </w:tc>
        <w:tc>
          <w:tcPr>
            <w:tcW w:w="1769" w:type="dxa"/>
          </w:tcPr>
          <w:p w14:paraId="11E5E6C2">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15 335</w:t>
            </w:r>
          </w:p>
        </w:tc>
      </w:tr>
      <w:tr w14:paraId="63108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408" w:type="dxa"/>
          </w:tcPr>
          <w:p w14:paraId="45635AFF">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4 квалификационный уровень</w:t>
            </w:r>
          </w:p>
        </w:tc>
        <w:tc>
          <w:tcPr>
            <w:tcW w:w="5884" w:type="dxa"/>
          </w:tcPr>
          <w:p w14:paraId="2BFA4A85">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наименование профессий рабочих, предусмотренных 1 - 3 квалификационными уровнями настоящей ПКГ, выполняющих важные (особо важные) и ответственные (особо ответственные) работы &lt;*&gt;</w:t>
            </w:r>
          </w:p>
        </w:tc>
        <w:tc>
          <w:tcPr>
            <w:tcW w:w="1769" w:type="dxa"/>
          </w:tcPr>
          <w:p w14:paraId="12AB3027">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15 835</w:t>
            </w:r>
          </w:p>
        </w:tc>
      </w:tr>
    </w:tbl>
    <w:p w14:paraId="7B25D4FC">
      <w:pPr>
        <w:pStyle w:val="7"/>
        <w:ind w:firstLine="540"/>
        <w:jc w:val="both"/>
        <w:rPr>
          <w:rFonts w:ascii="Times New Roman" w:hAnsi="Times New Roman" w:eastAsiaTheme="minorHAnsi" w:cstheme="minorBidi"/>
          <w:sz w:val="28"/>
          <w:szCs w:val="28"/>
          <w:lang w:eastAsia="en-US"/>
        </w:rPr>
      </w:pPr>
      <w:r>
        <w:rPr>
          <w:rFonts w:ascii="Times New Roman" w:hAnsi="Times New Roman" w:eastAsiaTheme="minorHAnsi" w:cstheme="minorBidi"/>
          <w:sz w:val="28"/>
          <w:szCs w:val="28"/>
          <w:lang w:eastAsia="en-US"/>
        </w:rPr>
        <w:t>--------------------------------</w:t>
      </w:r>
    </w:p>
    <w:p w14:paraId="606BE8EB">
      <w:pPr>
        <w:pStyle w:val="7"/>
        <w:ind w:firstLine="539"/>
        <w:jc w:val="both"/>
        <w:rPr>
          <w:rFonts w:ascii="Times New Roman" w:hAnsi="Times New Roman" w:eastAsiaTheme="minorHAnsi" w:cstheme="minorBidi"/>
          <w:sz w:val="28"/>
          <w:szCs w:val="28"/>
          <w:lang w:eastAsia="en-US"/>
        </w:rPr>
      </w:pPr>
      <w:r>
        <w:rPr>
          <w:rFonts w:ascii="Times New Roman" w:hAnsi="Times New Roman" w:eastAsiaTheme="minorHAnsi" w:cstheme="minorBidi"/>
          <w:sz w:val="28"/>
          <w:szCs w:val="28"/>
          <w:lang w:eastAsia="en-US"/>
        </w:rPr>
        <w:t>&lt;*&gt; Перечень рабочих, выполняющих важные (особо важные) и ответственные (особо ответственные) работы:</w:t>
      </w:r>
    </w:p>
    <w:p w14:paraId="77889332">
      <w:pPr>
        <w:pStyle w:val="7"/>
        <w:ind w:firstLine="539"/>
        <w:jc w:val="both"/>
        <w:rPr>
          <w:rFonts w:ascii="Times New Roman" w:hAnsi="Times New Roman" w:eastAsiaTheme="minorHAnsi" w:cstheme="minorBidi"/>
          <w:sz w:val="28"/>
          <w:szCs w:val="28"/>
          <w:lang w:eastAsia="en-US"/>
        </w:rPr>
      </w:pPr>
      <w:r>
        <w:rPr>
          <w:rFonts w:ascii="Times New Roman" w:hAnsi="Times New Roman" w:eastAsiaTheme="minorHAnsi" w:cstheme="minorBidi"/>
          <w:sz w:val="28"/>
          <w:szCs w:val="28"/>
          <w:lang w:eastAsia="en-US"/>
        </w:rPr>
        <w:t>водители автобусов, специальных легковых автомобилей («Медпомощь» и др.), легковых автомобилей, занятых перевозкой обучающихся (детей, воспитанников), участников художественных коллективов для культурного обслуживания населения;</w:t>
      </w:r>
    </w:p>
    <w:p w14:paraId="03C3CDDA">
      <w:pPr>
        <w:pStyle w:val="7"/>
        <w:ind w:firstLine="539"/>
        <w:jc w:val="both"/>
        <w:rPr>
          <w:rFonts w:ascii="Times New Roman" w:hAnsi="Times New Roman" w:eastAsiaTheme="minorHAnsi" w:cstheme="minorBidi"/>
          <w:sz w:val="28"/>
          <w:szCs w:val="28"/>
          <w:lang w:eastAsia="en-US"/>
        </w:rPr>
      </w:pPr>
      <w:r>
        <w:rPr>
          <w:rFonts w:ascii="Times New Roman" w:hAnsi="Times New Roman" w:eastAsiaTheme="minorHAnsi" w:cstheme="minorBidi"/>
          <w:sz w:val="28"/>
          <w:szCs w:val="28"/>
          <w:lang w:eastAsia="en-US"/>
        </w:rPr>
        <w:t>повар, выполняющий обязанности заведующего производством (шеф-повара) при отсутствии в штате организации такой должности;</w:t>
      </w:r>
    </w:p>
    <w:p w14:paraId="51DB908F">
      <w:pPr>
        <w:pStyle w:val="7"/>
        <w:ind w:firstLine="539"/>
        <w:jc w:val="both"/>
        <w:rPr>
          <w:rFonts w:ascii="Times New Roman" w:hAnsi="Times New Roman" w:eastAsiaTheme="minorHAnsi" w:cstheme="minorBidi"/>
          <w:sz w:val="28"/>
          <w:szCs w:val="28"/>
          <w:lang w:eastAsia="en-US"/>
        </w:rPr>
      </w:pPr>
      <w:r>
        <w:rPr>
          <w:rFonts w:ascii="Times New Roman" w:hAnsi="Times New Roman" w:eastAsiaTheme="minorHAnsi" w:cstheme="minorBidi"/>
          <w:sz w:val="28"/>
          <w:szCs w:val="28"/>
          <w:lang w:eastAsia="en-US"/>
        </w:rPr>
        <w:t>рабочий, выполняющий станочные работы по обработке металла и других материалов резанием на металлообрабатывающих станках (токарь, фрезеровщик, шлифовщик и др.), работы по холодной штамповке металла и др. материалов, работы по изготовлению и ремонту, наладке инструмента, технологической оснастке контрольно-измерительных приборов, принимающий непосредственное участие в учебном процессе.</w:t>
      </w:r>
    </w:p>
    <w:p w14:paraId="1E0BB823">
      <w:pPr>
        <w:pStyle w:val="7"/>
        <w:ind w:left="5245"/>
        <w:jc w:val="right"/>
        <w:outlineLvl w:val="1"/>
        <w:rPr>
          <w:rFonts w:ascii="Times New Roman" w:hAnsi="Times New Roman" w:eastAsiaTheme="minorHAnsi" w:cstheme="minorBidi"/>
          <w:sz w:val="28"/>
          <w:szCs w:val="28"/>
          <w:lang w:eastAsia="en-US"/>
        </w:rPr>
      </w:pPr>
    </w:p>
    <w:p w14:paraId="752F57A3">
      <w:pPr>
        <w:pStyle w:val="7"/>
        <w:ind w:left="5245"/>
        <w:jc w:val="right"/>
        <w:outlineLvl w:val="1"/>
        <w:rPr>
          <w:rFonts w:ascii="Times New Roman" w:hAnsi="Times New Roman" w:eastAsiaTheme="minorHAnsi" w:cstheme="minorBidi"/>
          <w:sz w:val="28"/>
          <w:szCs w:val="28"/>
          <w:lang w:eastAsia="en-US"/>
        </w:rPr>
      </w:pPr>
      <w:r>
        <w:rPr>
          <w:rFonts w:ascii="Times New Roman" w:hAnsi="Times New Roman" w:eastAsiaTheme="minorHAnsi" w:cstheme="minorBidi"/>
          <w:sz w:val="28"/>
          <w:szCs w:val="28"/>
          <w:lang w:eastAsia="en-US"/>
        </w:rPr>
        <w:t>Приложение 2</w:t>
      </w:r>
    </w:p>
    <w:p w14:paraId="184A5C8E">
      <w:pPr>
        <w:pStyle w:val="7"/>
        <w:ind w:left="3686"/>
        <w:jc w:val="right"/>
        <w:outlineLvl w:val="1"/>
        <w:rPr>
          <w:rFonts w:ascii="Times New Roman" w:hAnsi="Times New Roman" w:eastAsiaTheme="minorHAnsi" w:cstheme="minorBidi"/>
          <w:lang w:eastAsia="en-US"/>
        </w:rPr>
      </w:pPr>
      <w:r>
        <w:rPr>
          <w:rFonts w:ascii="Times New Roman" w:hAnsi="Times New Roman" w:eastAsiaTheme="minorHAnsi" w:cstheme="minorBidi"/>
          <w:lang w:eastAsia="en-US"/>
        </w:rPr>
        <w:t>к Положению о системе оплаты труда работников муниципальных бюджетных общеобразовательных учреждений Красногорского района,  реализующих программы начального общего, основного общего, среднего (полного) общего образования, муниципальных образовательных учреждений дополнительного образования детей, муниципальных дошкольных образовательных учреждений находящихся в ведении Красногорского района</w:t>
      </w:r>
    </w:p>
    <w:p w14:paraId="7CFC08A3">
      <w:pPr>
        <w:pStyle w:val="7"/>
        <w:jc w:val="right"/>
        <w:rPr>
          <w:rFonts w:ascii="Times New Roman" w:hAnsi="Times New Roman" w:eastAsiaTheme="minorHAnsi" w:cstheme="minorBidi"/>
          <w:sz w:val="28"/>
          <w:szCs w:val="28"/>
          <w:lang w:eastAsia="en-US"/>
        </w:rPr>
      </w:pPr>
    </w:p>
    <w:p w14:paraId="7CF88E5B">
      <w:pPr>
        <w:pStyle w:val="8"/>
        <w:jc w:val="center"/>
        <w:rPr>
          <w:rFonts w:ascii="Times New Roman" w:hAnsi="Times New Roman" w:eastAsiaTheme="minorHAnsi" w:cstheme="minorBidi"/>
          <w:b w:val="0"/>
          <w:bCs w:val="0"/>
          <w:sz w:val="28"/>
          <w:szCs w:val="28"/>
          <w:lang w:eastAsia="en-US"/>
        </w:rPr>
      </w:pPr>
      <w:bookmarkStart w:id="1" w:name="P651"/>
      <w:bookmarkEnd w:id="1"/>
      <w:r>
        <w:rPr>
          <w:rFonts w:ascii="Times New Roman" w:hAnsi="Times New Roman" w:eastAsiaTheme="minorHAnsi" w:cstheme="minorBidi"/>
          <w:b w:val="0"/>
          <w:bCs w:val="0"/>
          <w:sz w:val="28"/>
          <w:szCs w:val="28"/>
          <w:lang w:eastAsia="en-US"/>
        </w:rPr>
        <w:t>Минимальные размеры окладов (должностных окладов)</w:t>
      </w:r>
    </w:p>
    <w:p w14:paraId="4004BFB0">
      <w:pPr>
        <w:pStyle w:val="8"/>
        <w:jc w:val="center"/>
        <w:rPr>
          <w:rFonts w:ascii="Times New Roman" w:hAnsi="Times New Roman" w:eastAsiaTheme="minorHAnsi" w:cstheme="minorBidi"/>
          <w:b w:val="0"/>
          <w:bCs w:val="0"/>
          <w:sz w:val="28"/>
          <w:szCs w:val="28"/>
          <w:lang w:eastAsia="en-US"/>
        </w:rPr>
      </w:pPr>
      <w:r>
        <w:rPr>
          <w:rFonts w:ascii="Times New Roman" w:hAnsi="Times New Roman" w:eastAsiaTheme="minorHAnsi" w:cstheme="minorBidi"/>
          <w:b w:val="0"/>
          <w:bCs w:val="0"/>
          <w:sz w:val="28"/>
          <w:szCs w:val="28"/>
          <w:lang w:eastAsia="en-US"/>
        </w:rPr>
        <w:t>по отдельным должностям педагогических работников, рабочих и служащих, не включенным в профессиональные квалификационные группы</w:t>
      </w:r>
    </w:p>
    <w:p w14:paraId="19BE3E6C">
      <w:pPr>
        <w:pStyle w:val="8"/>
        <w:jc w:val="center"/>
        <w:rPr>
          <w:rFonts w:ascii="Times New Roman" w:hAnsi="Times New Roman" w:eastAsiaTheme="minorHAnsi" w:cstheme="minorBidi"/>
          <w:sz w:val="28"/>
          <w:szCs w:val="28"/>
          <w:lang w:eastAsia="en-US"/>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7292"/>
        <w:gridCol w:w="2126"/>
      </w:tblGrid>
      <w:tr w14:paraId="313B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292" w:type="dxa"/>
          </w:tcPr>
          <w:p w14:paraId="249B4ED0">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 xml:space="preserve">Должности педагогических работников, </w:t>
            </w:r>
          </w:p>
          <w:p w14:paraId="56394EBE">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рабочих и служащих</w:t>
            </w:r>
          </w:p>
        </w:tc>
        <w:tc>
          <w:tcPr>
            <w:tcW w:w="2126" w:type="dxa"/>
          </w:tcPr>
          <w:p w14:paraId="6E4D63F2">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 xml:space="preserve">Оклады (должностные оклады), </w:t>
            </w:r>
          </w:p>
          <w:p w14:paraId="043BEEE3">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рублей</w:t>
            </w:r>
          </w:p>
        </w:tc>
      </w:tr>
      <w:tr w14:paraId="57D91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292" w:type="dxa"/>
          </w:tcPr>
          <w:p w14:paraId="2C295CB8">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Заведующий библиотекой</w:t>
            </w:r>
          </w:p>
        </w:tc>
        <w:tc>
          <w:tcPr>
            <w:tcW w:w="2126" w:type="dxa"/>
          </w:tcPr>
          <w:p w14:paraId="2C33A743">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15 003</w:t>
            </w:r>
          </w:p>
        </w:tc>
      </w:tr>
      <w:tr w14:paraId="2D014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292" w:type="dxa"/>
          </w:tcPr>
          <w:p w14:paraId="46C002A7">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Специалист по охране труда</w:t>
            </w:r>
          </w:p>
        </w:tc>
        <w:tc>
          <w:tcPr>
            <w:tcW w:w="2126" w:type="dxa"/>
          </w:tcPr>
          <w:p w14:paraId="13A15523">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14 503</w:t>
            </w:r>
          </w:p>
        </w:tc>
      </w:tr>
      <w:tr w14:paraId="7253B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292" w:type="dxa"/>
          </w:tcPr>
          <w:p w14:paraId="78FBB5FE">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Специалист</w:t>
            </w:r>
          </w:p>
        </w:tc>
        <w:tc>
          <w:tcPr>
            <w:tcW w:w="2126" w:type="dxa"/>
          </w:tcPr>
          <w:p w14:paraId="0AA2A627">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17 002</w:t>
            </w:r>
          </w:p>
        </w:tc>
      </w:tr>
      <w:tr w14:paraId="048A7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292" w:type="dxa"/>
          </w:tcPr>
          <w:p w14:paraId="3F134080">
            <w:pPr>
              <w:pStyle w:val="7"/>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Ведущий специалист</w:t>
            </w:r>
          </w:p>
        </w:tc>
        <w:tc>
          <w:tcPr>
            <w:tcW w:w="2126" w:type="dxa"/>
          </w:tcPr>
          <w:p w14:paraId="476FDA43">
            <w:pPr>
              <w:pStyle w:val="7"/>
              <w:jc w:val="center"/>
              <w:rPr>
                <w:rFonts w:ascii="Times New Roman" w:hAnsi="Times New Roman" w:eastAsiaTheme="minorHAnsi" w:cstheme="minorBidi"/>
                <w:sz w:val="24"/>
                <w:szCs w:val="24"/>
                <w:lang w:eastAsia="en-US"/>
              </w:rPr>
            </w:pPr>
            <w:r>
              <w:rPr>
                <w:rFonts w:ascii="Times New Roman" w:hAnsi="Times New Roman" w:eastAsiaTheme="minorHAnsi" w:cstheme="minorBidi"/>
                <w:sz w:val="24"/>
                <w:szCs w:val="24"/>
                <w:lang w:eastAsia="en-US"/>
              </w:rPr>
              <w:t>19 168</w:t>
            </w:r>
          </w:p>
        </w:tc>
      </w:tr>
      <w:tr w14:paraId="085D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492" w:hRule="atLeast"/>
        </w:trPr>
        <w:tc>
          <w:tcPr>
            <w:tcW w:w="7292" w:type="dxa"/>
          </w:tcPr>
          <w:p w14:paraId="170FDA68">
            <w:pPr>
              <w:pStyle w:val="7"/>
              <w:rPr>
                <w:rFonts w:ascii="Times New Roman" w:hAnsi="Times New Roman" w:eastAsiaTheme="minorHAnsi" w:cstheme="minorBidi"/>
                <w:sz w:val="24"/>
                <w:szCs w:val="24"/>
                <w:lang w:eastAsia="en-US"/>
              </w:rPr>
            </w:pPr>
            <w:r>
              <w:rPr>
                <w:rFonts w:ascii="Times New Roman" w:hAnsi="Times New Roman" w:eastAsia="Calibri" w:cs="Times New Roman"/>
                <w:sz w:val="24"/>
                <w:szCs w:val="24"/>
              </w:rPr>
              <w:t>Советник директора по воспитанию и взаимодействию с детскими общественными объединениями</w:t>
            </w:r>
          </w:p>
        </w:tc>
        <w:tc>
          <w:tcPr>
            <w:tcW w:w="2126" w:type="dxa"/>
          </w:tcPr>
          <w:p w14:paraId="42F60E0E">
            <w:pPr>
              <w:pStyle w:val="7"/>
              <w:jc w:val="center"/>
              <w:rPr>
                <w:rFonts w:ascii="Times New Roman" w:hAnsi="Times New Roman" w:eastAsiaTheme="minorHAnsi" w:cstheme="minorBidi"/>
                <w:sz w:val="24"/>
                <w:szCs w:val="24"/>
                <w:lang w:eastAsia="en-US"/>
              </w:rPr>
            </w:pPr>
            <w:r>
              <w:rPr>
                <w:rFonts w:ascii="Times New Roman" w:hAnsi="Times New Roman" w:eastAsia="Calibri" w:cs="Times New Roman"/>
                <w:sz w:val="24"/>
                <w:szCs w:val="24"/>
              </w:rPr>
              <w:t>21 048</w:t>
            </w:r>
          </w:p>
        </w:tc>
      </w:tr>
    </w:tbl>
    <w:p w14:paraId="1DD45914">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6D1D0A18">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1.4. Приложение 6 к Положению изложить в редакции согласно приложения к настоящему постановлению.</w:t>
      </w:r>
    </w:p>
    <w:p w14:paraId="6B1B9FAC">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Настоящее постановление вступает в силу со дня его официального опубликования и распространяется на правоотношения, возникшие с 1 сентября 2026 года. </w:t>
      </w:r>
    </w:p>
    <w:p w14:paraId="5F9BD565">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Контроль за исполнением постановления возложить на заместителя главы администрации Красногорского района Глушакова В.А.</w:t>
      </w:r>
    </w:p>
    <w:p w14:paraId="406AEC75">
      <w:pPr>
        <w:widowControl w:val="0"/>
        <w:autoSpaceDE w:val="0"/>
        <w:autoSpaceDN w:val="0"/>
        <w:adjustRightInd w:val="0"/>
        <w:spacing w:after="0" w:line="240" w:lineRule="auto"/>
        <w:rPr>
          <w:rFonts w:ascii="Times New Roman" w:hAnsi="Times New Roman" w:cs="Times New Roman"/>
          <w:sz w:val="28"/>
          <w:szCs w:val="28"/>
        </w:rPr>
      </w:pPr>
    </w:p>
    <w:p w14:paraId="643782CB">
      <w:pPr>
        <w:widowControl w:val="0"/>
        <w:autoSpaceDE w:val="0"/>
        <w:autoSpaceDN w:val="0"/>
        <w:adjustRightInd w:val="0"/>
        <w:spacing w:after="0" w:line="240" w:lineRule="auto"/>
        <w:rPr>
          <w:rFonts w:ascii="Times New Roman" w:hAnsi="Times New Roman" w:cs="Times New Roman"/>
          <w:sz w:val="28"/>
          <w:szCs w:val="28"/>
        </w:rPr>
      </w:pPr>
    </w:p>
    <w:p w14:paraId="0A9C328B">
      <w:pPr>
        <w:spacing w:after="0"/>
        <w:rPr>
          <w:rFonts w:ascii="Times New Roman" w:hAnsi="Times New Roman" w:cs="Times New Roman"/>
          <w:sz w:val="28"/>
          <w:szCs w:val="28"/>
        </w:rPr>
      </w:pPr>
      <w:r>
        <w:rPr>
          <w:rFonts w:ascii="Times New Roman" w:hAnsi="Times New Roman" w:cs="Times New Roman"/>
          <w:sz w:val="28"/>
          <w:szCs w:val="28"/>
        </w:rPr>
        <w:t>Глава администрации</w:t>
      </w:r>
    </w:p>
    <w:p w14:paraId="6BD203BB">
      <w:pPr>
        <w:spacing w:after="0"/>
        <w:rPr>
          <w:rFonts w:ascii="Times New Roman" w:hAnsi="Times New Roman" w:cs="Times New Roman"/>
          <w:sz w:val="28"/>
          <w:szCs w:val="28"/>
        </w:rPr>
      </w:pPr>
      <w:r>
        <w:rPr>
          <w:rFonts w:ascii="Times New Roman" w:hAnsi="Times New Roman" w:cs="Times New Roman"/>
          <w:sz w:val="28"/>
          <w:szCs w:val="28"/>
        </w:rPr>
        <w:t>Красногорского района                                                                С.С. Жилинский</w:t>
      </w:r>
    </w:p>
    <w:p w14:paraId="3D2C1908">
      <w:pPr>
        <w:spacing w:after="0"/>
        <w:rPr>
          <w:rFonts w:ascii="Times New Roman" w:hAnsi="Times New Roman" w:cs="Times New Roman"/>
          <w:sz w:val="28"/>
          <w:szCs w:val="28"/>
        </w:rPr>
      </w:pPr>
    </w:p>
    <w:p w14:paraId="36B77DB9">
      <w:bookmarkStart w:id="3" w:name="_GoBack"/>
      <w:bookmarkEnd w:id="3"/>
      <w:r>
        <w:br w:type="page"/>
      </w:r>
    </w:p>
    <w:p w14:paraId="21AEB678">
      <w:pPr>
        <w:spacing w:after="0"/>
        <w:sectPr>
          <w:pgSz w:w="11906" w:h="16838"/>
          <w:pgMar w:top="1134" w:right="850" w:bottom="1134" w:left="1701" w:header="708" w:footer="708" w:gutter="0"/>
          <w:cols w:space="708" w:num="1"/>
          <w:docGrid w:linePitch="360" w:charSpace="0"/>
        </w:sectPr>
      </w:pPr>
    </w:p>
    <w:p w14:paraId="741F0E5A">
      <w:pPr>
        <w:pStyle w:val="7"/>
        <w:spacing w:line="240" w:lineRule="atLeast"/>
        <w:jc w:val="right"/>
        <w:outlineLvl w:val="1"/>
        <w:rPr>
          <w:rFonts w:ascii="Times New Roman" w:hAnsi="Times New Roman" w:cs="Times New Roman"/>
          <w:sz w:val="24"/>
          <w:szCs w:val="24"/>
        </w:rPr>
      </w:pPr>
      <w:r>
        <w:rPr>
          <w:rFonts w:ascii="Times New Roman" w:hAnsi="Times New Roman" w:cs="Times New Roman"/>
          <w:sz w:val="24"/>
          <w:szCs w:val="24"/>
        </w:rPr>
        <w:t>Приложение к постановлению</w:t>
      </w:r>
    </w:p>
    <w:p w14:paraId="2425C6D6">
      <w:pPr>
        <w:pStyle w:val="7"/>
        <w:spacing w:line="240" w:lineRule="atLeast"/>
        <w:jc w:val="right"/>
        <w:outlineLvl w:val="1"/>
        <w:rPr>
          <w:rFonts w:ascii="Times New Roman" w:hAnsi="Times New Roman" w:cs="Times New Roman"/>
          <w:sz w:val="24"/>
          <w:szCs w:val="24"/>
        </w:rPr>
      </w:pPr>
      <w:r>
        <w:rPr>
          <w:rFonts w:ascii="Times New Roman" w:hAnsi="Times New Roman" w:cs="Times New Roman"/>
          <w:sz w:val="24"/>
          <w:szCs w:val="24"/>
        </w:rPr>
        <w:t>Администрации Красногорского района</w:t>
      </w:r>
    </w:p>
    <w:p w14:paraId="71965C3B">
      <w:pPr>
        <w:pStyle w:val="7"/>
        <w:spacing w:line="240" w:lineRule="atLeast"/>
        <w:jc w:val="right"/>
        <w:outlineLvl w:val="1"/>
        <w:rPr>
          <w:rFonts w:ascii="Times New Roman" w:hAnsi="Times New Roman" w:cs="Times New Roman"/>
          <w:sz w:val="28"/>
          <w:szCs w:val="28"/>
        </w:rPr>
      </w:pPr>
      <w:r>
        <w:rPr>
          <w:rFonts w:ascii="Times New Roman" w:hAnsi="Times New Roman" w:cs="Times New Roman"/>
          <w:sz w:val="24"/>
          <w:szCs w:val="24"/>
        </w:rPr>
        <w:t>от 21 августа 2026г. №  284</w:t>
      </w:r>
      <w:r>
        <w:rPr>
          <w:rFonts w:ascii="Times New Roman" w:hAnsi="Times New Roman" w:cs="Times New Roman"/>
          <w:sz w:val="28"/>
          <w:szCs w:val="28"/>
        </w:rPr>
        <w:t xml:space="preserve">          </w:t>
      </w:r>
    </w:p>
    <w:p w14:paraId="6104D6C0">
      <w:pPr>
        <w:pStyle w:val="7"/>
        <w:spacing w:line="240" w:lineRule="atLeast"/>
        <w:jc w:val="right"/>
        <w:outlineLvl w:val="1"/>
        <w:rPr>
          <w:rFonts w:ascii="Times New Roman" w:hAnsi="Times New Roman" w:cs="Times New Roman"/>
          <w:color w:val="000000"/>
        </w:rPr>
      </w:pPr>
      <w:r>
        <w:rPr>
          <w:rFonts w:ascii="Times New Roman" w:hAnsi="Times New Roman" w:cs="Times New Roman"/>
          <w:sz w:val="28"/>
          <w:szCs w:val="28"/>
        </w:rPr>
        <w:t xml:space="preserve">  </w:t>
      </w:r>
      <w:r>
        <w:rPr>
          <w:rFonts w:ascii="Times New Roman" w:hAnsi="Times New Roman" w:cs="Times New Roman"/>
          <w:color w:val="000000"/>
        </w:rPr>
        <w:t>Приложение 6</w:t>
      </w:r>
    </w:p>
    <w:p w14:paraId="7F138706">
      <w:pPr>
        <w:widowControl w:val="0"/>
        <w:autoSpaceDE w:val="0"/>
        <w:autoSpaceDN w:val="0"/>
        <w:adjustRightInd w:val="0"/>
        <w:spacing w:line="240" w:lineRule="atLeast"/>
        <w:ind w:left="8496" w:firstLine="708"/>
        <w:jc w:val="right"/>
        <w:outlineLvl w:val="1"/>
        <w:rPr>
          <w:rFonts w:ascii="Times New Roman" w:hAnsi="Times New Roman" w:cs="Times New Roman"/>
          <w:sz w:val="28"/>
          <w:szCs w:val="28"/>
        </w:rPr>
      </w:pPr>
      <w:r>
        <w:rPr>
          <w:rFonts w:ascii="Times New Roman" w:hAnsi="Times New Roman" w:cs="Times New Roman"/>
          <w:color w:val="000000"/>
          <w:sz w:val="20"/>
          <w:szCs w:val="20"/>
        </w:rPr>
        <w:t>к Положению о системе  оплаты  труда работников муниципальных бюджетных общеобразовательных учреждений Красногорского района, реализующих программы начального общего, основного общего, среднего (полного) общего образования, муниципальных образовательных учреждений дополнительного образования детей, муниципальных дошкольных образовательных учреждений находящихся в ведении Красногорского района</w:t>
      </w:r>
    </w:p>
    <w:p w14:paraId="37B60B11">
      <w:pPr>
        <w:widowControl w:val="0"/>
        <w:autoSpaceDE w:val="0"/>
        <w:autoSpaceDN w:val="0"/>
        <w:adjustRightInd w:val="0"/>
        <w:spacing w:after="0" w:line="240" w:lineRule="atLeast"/>
        <w:jc w:val="center"/>
        <w:rPr>
          <w:rFonts w:ascii="Times New Roman" w:hAnsi="Times New Roman" w:cs="Times New Roman"/>
        </w:rPr>
      </w:pPr>
      <w:r>
        <w:rPr>
          <w:rFonts w:ascii="Times New Roman" w:hAnsi="Times New Roman" w:cs="Times New Roman"/>
        </w:rPr>
        <w:t>Формы тарификационных списков</w:t>
      </w:r>
    </w:p>
    <w:p w14:paraId="68E5423F">
      <w:pPr>
        <w:widowControl w:val="0"/>
        <w:autoSpaceDE w:val="0"/>
        <w:autoSpaceDN w:val="0"/>
        <w:adjustRightInd w:val="0"/>
        <w:spacing w:after="0" w:line="240" w:lineRule="atLeast"/>
        <w:jc w:val="center"/>
        <w:rPr>
          <w:rFonts w:ascii="Times New Roman" w:hAnsi="Times New Roman" w:cs="Times New Roman"/>
        </w:rPr>
      </w:pPr>
      <w:r>
        <w:rPr>
          <w:rFonts w:ascii="Times New Roman" w:hAnsi="Times New Roman" w:cs="Times New Roman"/>
        </w:rPr>
        <w:t>педагогических работников муниципальных</w:t>
      </w:r>
    </w:p>
    <w:p w14:paraId="64512638">
      <w:pPr>
        <w:widowControl w:val="0"/>
        <w:tabs>
          <w:tab w:val="left" w:pos="11199"/>
        </w:tabs>
        <w:autoSpaceDE w:val="0"/>
        <w:autoSpaceDN w:val="0"/>
        <w:adjustRightInd w:val="0"/>
        <w:spacing w:after="0" w:line="240" w:lineRule="atLeast"/>
        <w:jc w:val="center"/>
        <w:rPr>
          <w:rFonts w:ascii="Times New Roman" w:hAnsi="Times New Roman" w:cs="Times New Roman"/>
        </w:rPr>
      </w:pPr>
      <w:r>
        <w:rPr>
          <w:rFonts w:ascii="Times New Roman" w:hAnsi="Times New Roman" w:cs="Times New Roman"/>
        </w:rPr>
        <w:t>образовательных организаций</w:t>
      </w:r>
    </w:p>
    <w:p w14:paraId="0D524721">
      <w:pPr>
        <w:widowControl w:val="0"/>
        <w:autoSpaceDE w:val="0"/>
        <w:autoSpaceDN w:val="0"/>
        <w:adjustRightInd w:val="0"/>
        <w:spacing w:after="0" w:line="240" w:lineRule="atLeast"/>
        <w:jc w:val="center"/>
        <w:outlineLvl w:val="2"/>
        <w:rPr>
          <w:rFonts w:ascii="Times New Roman" w:hAnsi="Times New Roman" w:cs="Times New Roman"/>
          <w:sz w:val="28"/>
          <w:szCs w:val="28"/>
        </w:rPr>
      </w:pPr>
    </w:p>
    <w:p w14:paraId="498C1E64">
      <w:pPr>
        <w:widowControl w:val="0"/>
        <w:autoSpaceDE w:val="0"/>
        <w:autoSpaceDN w:val="0"/>
        <w:adjustRightInd w:val="0"/>
        <w:spacing w:after="0" w:line="240" w:lineRule="atLeast"/>
        <w:ind w:left="-567" w:firstLine="567"/>
        <w:jc w:val="center"/>
        <w:outlineLvl w:val="2"/>
        <w:rPr>
          <w:rFonts w:ascii="Times New Roman" w:hAnsi="Times New Roman" w:cs="Times New Roman"/>
        </w:rPr>
      </w:pPr>
      <w:r>
        <w:rPr>
          <w:rFonts w:ascii="Times New Roman" w:hAnsi="Times New Roman" w:cs="Times New Roman"/>
        </w:rPr>
        <w:t xml:space="preserve">I. Тарификационный список педагогических работников </w:t>
      </w:r>
    </w:p>
    <w:p w14:paraId="03254FA6">
      <w:pPr>
        <w:widowControl w:val="0"/>
        <w:autoSpaceDE w:val="0"/>
        <w:autoSpaceDN w:val="0"/>
        <w:adjustRightInd w:val="0"/>
        <w:spacing w:after="0" w:line="240" w:lineRule="atLeast"/>
        <w:jc w:val="center"/>
        <w:outlineLvl w:val="2"/>
        <w:rPr>
          <w:rFonts w:ascii="Times New Roman" w:hAnsi="Times New Roman" w:cs="Times New Roman"/>
        </w:rPr>
      </w:pPr>
      <w:r>
        <w:rPr>
          <w:rFonts w:ascii="Times New Roman" w:hAnsi="Times New Roman" w:cs="Times New Roman"/>
        </w:rPr>
        <w:t xml:space="preserve">муниципальных учреждений, находящихся в ведении Красногорского района </w:t>
      </w:r>
    </w:p>
    <w:tbl>
      <w:tblPr>
        <w:tblStyle w:val="3"/>
        <w:tblW w:w="5000" w:type="pct"/>
        <w:jc w:val="center"/>
        <w:tblLayout w:type="fixed"/>
        <w:tblCellMar>
          <w:top w:w="0" w:type="dxa"/>
          <w:left w:w="108" w:type="dxa"/>
          <w:bottom w:w="0" w:type="dxa"/>
          <w:right w:w="108" w:type="dxa"/>
        </w:tblCellMar>
      </w:tblPr>
      <w:tblGrid>
        <w:gridCol w:w="382"/>
        <w:gridCol w:w="834"/>
        <w:gridCol w:w="915"/>
        <w:gridCol w:w="753"/>
        <w:gridCol w:w="546"/>
        <w:gridCol w:w="546"/>
        <w:gridCol w:w="559"/>
        <w:gridCol w:w="834"/>
        <w:gridCol w:w="831"/>
        <w:gridCol w:w="1027"/>
        <w:gridCol w:w="631"/>
        <w:gridCol w:w="637"/>
        <w:gridCol w:w="556"/>
        <w:gridCol w:w="637"/>
        <w:gridCol w:w="696"/>
        <w:gridCol w:w="912"/>
        <w:gridCol w:w="637"/>
        <w:gridCol w:w="746"/>
        <w:gridCol w:w="1096"/>
        <w:gridCol w:w="793"/>
        <w:gridCol w:w="1046"/>
      </w:tblGrid>
      <w:tr w14:paraId="21E710B6">
        <w:tblPrEx>
          <w:tblCellMar>
            <w:top w:w="0" w:type="dxa"/>
            <w:left w:w="108" w:type="dxa"/>
            <w:bottom w:w="0" w:type="dxa"/>
            <w:right w:w="108" w:type="dxa"/>
          </w:tblCellMar>
        </w:tblPrEx>
        <w:trPr>
          <w:trHeight w:val="915" w:hRule="atLeast"/>
          <w:jc w:val="center"/>
        </w:trPr>
        <w:tc>
          <w:tcPr>
            <w:tcW w:w="122" w:type="pct"/>
            <w:vMerge w:val="restart"/>
            <w:tcBorders>
              <w:top w:val="single" w:color="auto" w:sz="8" w:space="0"/>
              <w:left w:val="single" w:color="auto" w:sz="8" w:space="0"/>
              <w:bottom w:val="single" w:color="000000" w:sz="8" w:space="0"/>
              <w:right w:val="single" w:color="auto" w:sz="8" w:space="0"/>
            </w:tcBorders>
          </w:tcPr>
          <w:p w14:paraId="5FD24CAE">
            <w:pPr>
              <w:spacing w:line="240" w:lineRule="atLeast"/>
              <w:ind w:left="-142" w:right="-84"/>
              <w:jc w:val="center"/>
              <w:rPr>
                <w:rFonts w:ascii="Times New Roman" w:hAnsi="Times New Roman" w:cs="Times New Roman"/>
                <w:color w:val="000000"/>
                <w:sz w:val="12"/>
                <w:szCs w:val="12"/>
              </w:rPr>
            </w:pPr>
            <w:r>
              <w:rPr>
                <w:rFonts w:ascii="Times New Roman" w:hAnsi="Times New Roman" w:cs="Times New Roman"/>
                <w:color w:val="000000"/>
                <w:sz w:val="12"/>
                <w:szCs w:val="12"/>
              </w:rPr>
              <w:t xml:space="preserve">  №         пп</w:t>
            </w:r>
          </w:p>
        </w:tc>
        <w:tc>
          <w:tcPr>
            <w:tcW w:w="267" w:type="pct"/>
            <w:vMerge w:val="restart"/>
            <w:tcBorders>
              <w:top w:val="single" w:color="auto" w:sz="8" w:space="0"/>
              <w:left w:val="single" w:color="auto" w:sz="8" w:space="0"/>
              <w:bottom w:val="single" w:color="000000" w:sz="8" w:space="0"/>
              <w:right w:val="single" w:color="auto" w:sz="8" w:space="0"/>
            </w:tcBorders>
            <w:textDirection w:val="btLr"/>
          </w:tcPr>
          <w:p w14:paraId="41DFCEE9">
            <w:pPr>
              <w:spacing w:line="240" w:lineRule="atLeast"/>
              <w:ind w:left="-12" w:right="113"/>
              <w:jc w:val="center"/>
              <w:rPr>
                <w:rFonts w:ascii="Times New Roman" w:hAnsi="Times New Roman" w:cs="Times New Roman"/>
                <w:color w:val="000000"/>
                <w:sz w:val="12"/>
                <w:szCs w:val="12"/>
              </w:rPr>
            </w:pPr>
            <w:r>
              <w:rPr>
                <w:rFonts w:ascii="Times New Roman" w:hAnsi="Times New Roman" w:cs="Times New Roman"/>
                <w:color w:val="000000"/>
                <w:sz w:val="12"/>
                <w:szCs w:val="12"/>
              </w:rPr>
              <w:t>Фамилия,,  имя, отчество</w:t>
            </w:r>
          </w:p>
        </w:tc>
        <w:tc>
          <w:tcPr>
            <w:tcW w:w="293" w:type="pct"/>
            <w:vMerge w:val="restart"/>
            <w:tcBorders>
              <w:top w:val="single" w:color="auto" w:sz="8" w:space="0"/>
              <w:left w:val="single" w:color="auto" w:sz="8" w:space="0"/>
              <w:bottom w:val="single" w:color="000000" w:sz="8" w:space="0"/>
              <w:right w:val="single" w:color="auto" w:sz="8" w:space="0"/>
            </w:tcBorders>
            <w:textDirection w:val="btLr"/>
          </w:tcPr>
          <w:p w14:paraId="7D2C1E5B">
            <w:pPr>
              <w:spacing w:line="240" w:lineRule="atLeast"/>
              <w:ind w:left="113" w:right="113"/>
              <w:jc w:val="center"/>
              <w:rPr>
                <w:rFonts w:ascii="Times New Roman" w:hAnsi="Times New Roman" w:cs="Times New Roman"/>
                <w:color w:val="000000"/>
                <w:sz w:val="12"/>
                <w:szCs w:val="12"/>
              </w:rPr>
            </w:pPr>
            <w:r>
              <w:rPr>
                <w:rFonts w:ascii="Times New Roman" w:hAnsi="Times New Roman" w:cs="Times New Roman"/>
                <w:color w:val="000000"/>
                <w:sz w:val="12"/>
                <w:szCs w:val="12"/>
              </w:rPr>
              <w:t>Наименование должности, преподаваемый предмет</w:t>
            </w:r>
          </w:p>
        </w:tc>
        <w:tc>
          <w:tcPr>
            <w:tcW w:w="241" w:type="pct"/>
            <w:vMerge w:val="restart"/>
            <w:tcBorders>
              <w:top w:val="single" w:color="auto" w:sz="8" w:space="0"/>
              <w:left w:val="single" w:color="auto" w:sz="8" w:space="0"/>
              <w:bottom w:val="single" w:color="000000" w:sz="8" w:space="0"/>
              <w:right w:val="single" w:color="auto" w:sz="8" w:space="0"/>
            </w:tcBorders>
            <w:textDirection w:val="btLr"/>
          </w:tcPr>
          <w:p w14:paraId="431F8C73">
            <w:pPr>
              <w:spacing w:line="240" w:lineRule="atLeast"/>
              <w:ind w:left="113" w:right="113"/>
              <w:jc w:val="center"/>
              <w:rPr>
                <w:rFonts w:ascii="Times New Roman" w:hAnsi="Times New Roman" w:cs="Times New Roman"/>
                <w:color w:val="000000"/>
                <w:sz w:val="12"/>
                <w:szCs w:val="12"/>
              </w:rPr>
            </w:pPr>
            <w:r>
              <w:rPr>
                <w:rFonts w:ascii="Times New Roman" w:hAnsi="Times New Roman" w:cs="Times New Roman"/>
                <w:color w:val="000000"/>
                <w:sz w:val="12"/>
                <w:szCs w:val="12"/>
              </w:rPr>
              <w:t xml:space="preserve">Ставка заработной платы в месяц,,   рублей  </w:t>
            </w:r>
          </w:p>
        </w:tc>
        <w:tc>
          <w:tcPr>
            <w:tcW w:w="529" w:type="pct"/>
            <w:gridSpan w:val="3"/>
            <w:tcBorders>
              <w:top w:val="single" w:color="auto" w:sz="8" w:space="0"/>
              <w:left w:val="nil"/>
              <w:bottom w:val="single" w:color="auto" w:sz="8" w:space="0"/>
              <w:right w:val="single" w:color="000000" w:sz="8" w:space="0"/>
            </w:tcBorders>
          </w:tcPr>
          <w:p w14:paraId="0BA0167E">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Фактическая нагрузка, число часов в месяц</w:t>
            </w:r>
          </w:p>
        </w:tc>
        <w:tc>
          <w:tcPr>
            <w:tcW w:w="267" w:type="pct"/>
            <w:vMerge w:val="restart"/>
            <w:tcBorders>
              <w:top w:val="single" w:color="auto" w:sz="8" w:space="0"/>
              <w:left w:val="single" w:color="auto" w:sz="8" w:space="0"/>
              <w:bottom w:val="single" w:color="000000" w:sz="8" w:space="0"/>
              <w:right w:val="single" w:color="auto" w:sz="8" w:space="0"/>
            </w:tcBorders>
          </w:tcPr>
          <w:p w14:paraId="3EB6D8A5">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Итого заработная плата в месяц с  учетом нагрузки, рублей</w:t>
            </w:r>
          </w:p>
        </w:tc>
        <w:tc>
          <w:tcPr>
            <w:tcW w:w="1179" w:type="pct"/>
            <w:gridSpan w:val="5"/>
            <w:tcBorders>
              <w:top w:val="single" w:color="auto" w:sz="8" w:space="0"/>
              <w:left w:val="nil"/>
              <w:bottom w:val="single" w:color="auto" w:sz="8" w:space="0"/>
              <w:right w:val="single" w:color="000000" w:sz="8" w:space="0"/>
            </w:tcBorders>
          </w:tcPr>
          <w:p w14:paraId="3D6049C7">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Выплаты компенсационного характера, рублей</w:t>
            </w:r>
          </w:p>
        </w:tc>
        <w:tc>
          <w:tcPr>
            <w:tcW w:w="1766" w:type="pct"/>
            <w:gridSpan w:val="7"/>
            <w:vMerge w:val="restart"/>
            <w:tcBorders>
              <w:top w:val="single" w:color="auto" w:sz="8" w:space="0"/>
              <w:left w:val="single" w:color="auto" w:sz="8" w:space="0"/>
              <w:right w:val="single" w:color="auto" w:sz="8" w:space="0"/>
            </w:tcBorders>
          </w:tcPr>
          <w:p w14:paraId="75A8A67B">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Выплаты стимулирующего характера, рублей</w:t>
            </w:r>
          </w:p>
        </w:tc>
        <w:tc>
          <w:tcPr>
            <w:tcW w:w="335" w:type="pct"/>
            <w:vMerge w:val="restart"/>
            <w:tcBorders>
              <w:top w:val="single" w:color="auto" w:sz="8" w:space="0"/>
              <w:left w:val="single" w:color="auto" w:sz="8" w:space="0"/>
              <w:bottom w:val="single" w:color="000000" w:sz="8" w:space="0"/>
              <w:right w:val="single" w:color="auto" w:sz="8" w:space="0"/>
            </w:tcBorders>
            <w:noWrap/>
          </w:tcPr>
          <w:p w14:paraId="71FE163C">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Итого</w:t>
            </w:r>
          </w:p>
        </w:tc>
      </w:tr>
      <w:tr w14:paraId="5058534E">
        <w:tblPrEx>
          <w:tblCellMar>
            <w:top w:w="0" w:type="dxa"/>
            <w:left w:w="108" w:type="dxa"/>
            <w:bottom w:w="0" w:type="dxa"/>
            <w:right w:w="108" w:type="dxa"/>
          </w:tblCellMar>
        </w:tblPrEx>
        <w:trPr>
          <w:trHeight w:val="510" w:hRule="atLeast"/>
          <w:jc w:val="center"/>
        </w:trPr>
        <w:tc>
          <w:tcPr>
            <w:tcW w:w="122" w:type="pct"/>
            <w:vMerge w:val="continue"/>
            <w:tcBorders>
              <w:top w:val="single" w:color="auto" w:sz="8" w:space="0"/>
              <w:left w:val="single" w:color="auto" w:sz="8" w:space="0"/>
              <w:bottom w:val="single" w:color="000000" w:sz="8" w:space="0"/>
              <w:right w:val="single" w:color="auto" w:sz="8" w:space="0"/>
            </w:tcBorders>
            <w:vAlign w:val="center"/>
          </w:tcPr>
          <w:p w14:paraId="2A1207D7">
            <w:pPr>
              <w:spacing w:line="240" w:lineRule="atLeast"/>
              <w:rPr>
                <w:rFonts w:ascii="Times New Roman" w:hAnsi="Times New Roman" w:cs="Times New Roman"/>
                <w:color w:val="000000"/>
                <w:sz w:val="12"/>
                <w:szCs w:val="12"/>
              </w:rPr>
            </w:pPr>
          </w:p>
        </w:tc>
        <w:tc>
          <w:tcPr>
            <w:tcW w:w="267" w:type="pct"/>
            <w:vMerge w:val="continue"/>
            <w:tcBorders>
              <w:top w:val="single" w:color="auto" w:sz="8" w:space="0"/>
              <w:left w:val="single" w:color="auto" w:sz="8" w:space="0"/>
              <w:bottom w:val="single" w:color="000000" w:sz="8" w:space="0"/>
              <w:right w:val="single" w:color="auto" w:sz="8" w:space="0"/>
            </w:tcBorders>
            <w:vAlign w:val="center"/>
          </w:tcPr>
          <w:p w14:paraId="0FB79A13">
            <w:pPr>
              <w:spacing w:line="240" w:lineRule="atLeast"/>
              <w:rPr>
                <w:rFonts w:ascii="Times New Roman" w:hAnsi="Times New Roman" w:cs="Times New Roman"/>
                <w:color w:val="000000"/>
                <w:sz w:val="12"/>
                <w:szCs w:val="12"/>
              </w:rPr>
            </w:pPr>
          </w:p>
        </w:tc>
        <w:tc>
          <w:tcPr>
            <w:tcW w:w="293" w:type="pct"/>
            <w:vMerge w:val="continue"/>
            <w:tcBorders>
              <w:top w:val="single" w:color="auto" w:sz="8" w:space="0"/>
              <w:left w:val="single" w:color="auto" w:sz="8" w:space="0"/>
              <w:bottom w:val="single" w:color="000000" w:sz="8" w:space="0"/>
              <w:right w:val="single" w:color="auto" w:sz="8" w:space="0"/>
            </w:tcBorders>
            <w:vAlign w:val="center"/>
          </w:tcPr>
          <w:p w14:paraId="6C78DDA4">
            <w:pPr>
              <w:spacing w:line="240" w:lineRule="atLeast"/>
              <w:rPr>
                <w:rFonts w:ascii="Times New Roman" w:hAnsi="Times New Roman" w:cs="Times New Roman"/>
                <w:color w:val="000000"/>
                <w:sz w:val="12"/>
                <w:szCs w:val="12"/>
              </w:rPr>
            </w:pPr>
          </w:p>
        </w:tc>
        <w:tc>
          <w:tcPr>
            <w:tcW w:w="241" w:type="pct"/>
            <w:vMerge w:val="continue"/>
            <w:tcBorders>
              <w:top w:val="single" w:color="auto" w:sz="8" w:space="0"/>
              <w:left w:val="single" w:color="auto" w:sz="8" w:space="0"/>
              <w:bottom w:val="single" w:color="000000" w:sz="8" w:space="0"/>
              <w:right w:val="single" w:color="auto" w:sz="8" w:space="0"/>
            </w:tcBorders>
            <w:vAlign w:val="center"/>
          </w:tcPr>
          <w:p w14:paraId="548A8920">
            <w:pPr>
              <w:spacing w:line="240" w:lineRule="atLeast"/>
              <w:rPr>
                <w:rFonts w:ascii="Times New Roman" w:hAnsi="Times New Roman" w:cs="Times New Roman"/>
                <w:color w:val="000000"/>
                <w:sz w:val="12"/>
                <w:szCs w:val="12"/>
              </w:rPr>
            </w:pPr>
          </w:p>
        </w:tc>
        <w:tc>
          <w:tcPr>
            <w:tcW w:w="175" w:type="pct"/>
            <w:vMerge w:val="restart"/>
            <w:tcBorders>
              <w:top w:val="nil"/>
              <w:left w:val="single" w:color="auto" w:sz="8" w:space="0"/>
              <w:bottom w:val="single" w:color="000000" w:sz="8" w:space="0"/>
              <w:right w:val="nil"/>
            </w:tcBorders>
            <w:textDirection w:val="btLr"/>
          </w:tcPr>
          <w:p w14:paraId="294AA7EB">
            <w:pPr>
              <w:spacing w:line="240" w:lineRule="atLeast"/>
              <w:ind w:left="113" w:right="113"/>
              <w:jc w:val="center"/>
              <w:rPr>
                <w:rFonts w:ascii="Times New Roman" w:hAnsi="Times New Roman" w:cs="Times New Roman"/>
                <w:color w:val="000000"/>
                <w:sz w:val="12"/>
                <w:szCs w:val="12"/>
              </w:rPr>
            </w:pPr>
            <w:r>
              <w:rPr>
                <w:rFonts w:ascii="Times New Roman" w:hAnsi="Times New Roman" w:cs="Times New Roman"/>
                <w:color w:val="000000"/>
                <w:sz w:val="12"/>
                <w:szCs w:val="12"/>
              </w:rPr>
              <w:t>1 - 4 классы</w:t>
            </w:r>
          </w:p>
        </w:tc>
        <w:tc>
          <w:tcPr>
            <w:tcW w:w="175" w:type="pct"/>
            <w:vMerge w:val="restart"/>
            <w:tcBorders>
              <w:top w:val="nil"/>
              <w:left w:val="single" w:color="auto" w:sz="8" w:space="0"/>
              <w:bottom w:val="single" w:color="000000" w:sz="8" w:space="0"/>
              <w:right w:val="single" w:color="auto" w:sz="8" w:space="0"/>
            </w:tcBorders>
            <w:textDirection w:val="btLr"/>
          </w:tcPr>
          <w:p w14:paraId="4BB18137">
            <w:pPr>
              <w:spacing w:line="240" w:lineRule="atLeast"/>
              <w:ind w:left="113" w:right="113"/>
              <w:jc w:val="center"/>
              <w:rPr>
                <w:rFonts w:ascii="Times New Roman" w:hAnsi="Times New Roman" w:cs="Times New Roman"/>
                <w:color w:val="000000"/>
                <w:sz w:val="12"/>
                <w:szCs w:val="12"/>
              </w:rPr>
            </w:pPr>
            <w:r>
              <w:rPr>
                <w:rFonts w:ascii="Times New Roman" w:hAnsi="Times New Roman" w:cs="Times New Roman"/>
                <w:color w:val="000000"/>
                <w:sz w:val="12"/>
                <w:szCs w:val="12"/>
              </w:rPr>
              <w:t>5 - 9 классы</w:t>
            </w:r>
          </w:p>
        </w:tc>
        <w:tc>
          <w:tcPr>
            <w:tcW w:w="179" w:type="pct"/>
            <w:vMerge w:val="restart"/>
            <w:tcBorders>
              <w:top w:val="nil"/>
              <w:left w:val="nil"/>
              <w:bottom w:val="single" w:color="000000" w:sz="8" w:space="0"/>
              <w:right w:val="single" w:color="auto" w:sz="8" w:space="0"/>
            </w:tcBorders>
            <w:textDirection w:val="btLr"/>
          </w:tcPr>
          <w:p w14:paraId="2E55FC69">
            <w:pPr>
              <w:spacing w:line="240" w:lineRule="atLeast"/>
              <w:ind w:left="113" w:right="113"/>
              <w:jc w:val="center"/>
              <w:rPr>
                <w:rFonts w:ascii="Times New Roman" w:hAnsi="Times New Roman" w:cs="Times New Roman"/>
                <w:color w:val="000000"/>
                <w:sz w:val="12"/>
                <w:szCs w:val="12"/>
              </w:rPr>
            </w:pPr>
            <w:r>
              <w:rPr>
                <w:rFonts w:ascii="Times New Roman" w:hAnsi="Times New Roman" w:cs="Times New Roman"/>
                <w:color w:val="000000"/>
                <w:sz w:val="12"/>
                <w:szCs w:val="12"/>
              </w:rPr>
              <w:t>10 - 11 классы</w:t>
            </w:r>
          </w:p>
        </w:tc>
        <w:tc>
          <w:tcPr>
            <w:tcW w:w="267" w:type="pct"/>
            <w:vMerge w:val="continue"/>
            <w:tcBorders>
              <w:top w:val="single" w:color="auto" w:sz="8" w:space="0"/>
              <w:left w:val="single" w:color="auto" w:sz="8" w:space="0"/>
              <w:bottom w:val="single" w:color="000000" w:sz="8" w:space="0"/>
              <w:right w:val="single" w:color="auto" w:sz="8" w:space="0"/>
            </w:tcBorders>
            <w:vAlign w:val="center"/>
          </w:tcPr>
          <w:p w14:paraId="1B6FCA0B">
            <w:pPr>
              <w:spacing w:line="240" w:lineRule="atLeast"/>
              <w:rPr>
                <w:rFonts w:ascii="Times New Roman" w:hAnsi="Times New Roman" w:cs="Times New Roman"/>
                <w:color w:val="000000"/>
                <w:sz w:val="12"/>
                <w:szCs w:val="12"/>
              </w:rPr>
            </w:pPr>
          </w:p>
        </w:tc>
        <w:tc>
          <w:tcPr>
            <w:tcW w:w="266" w:type="pct"/>
            <w:vMerge w:val="restart"/>
            <w:tcBorders>
              <w:top w:val="nil"/>
              <w:left w:val="single" w:color="auto" w:sz="8" w:space="0"/>
              <w:bottom w:val="single" w:color="000000" w:sz="8" w:space="0"/>
              <w:right w:val="nil"/>
            </w:tcBorders>
          </w:tcPr>
          <w:p w14:paraId="6C6F4611">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надбавка за специфику работы</w:t>
            </w:r>
          </w:p>
        </w:tc>
        <w:tc>
          <w:tcPr>
            <w:tcW w:w="329" w:type="pct"/>
            <w:vMerge w:val="restart"/>
            <w:tcBorders>
              <w:top w:val="nil"/>
              <w:left w:val="single" w:color="auto" w:sz="8" w:space="0"/>
              <w:bottom w:val="single" w:color="000000" w:sz="8" w:space="0"/>
              <w:right w:val="single" w:color="auto" w:sz="8" w:space="0"/>
            </w:tcBorders>
          </w:tcPr>
          <w:p w14:paraId="27F337E3">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доплаты за дополнительную работу, не входящую в должностные обязанности работника</w:t>
            </w:r>
          </w:p>
        </w:tc>
        <w:tc>
          <w:tcPr>
            <w:tcW w:w="584" w:type="pct"/>
            <w:gridSpan w:val="3"/>
            <w:tcBorders>
              <w:top w:val="single" w:color="auto" w:sz="8" w:space="0"/>
              <w:left w:val="nil"/>
              <w:bottom w:val="single" w:color="auto" w:sz="8" w:space="0"/>
              <w:right w:val="single" w:color="000000" w:sz="8" w:space="0"/>
            </w:tcBorders>
          </w:tcPr>
          <w:p w14:paraId="379AD259">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 xml:space="preserve"> в том числе</w:t>
            </w:r>
          </w:p>
        </w:tc>
        <w:tc>
          <w:tcPr>
            <w:tcW w:w="1766" w:type="pct"/>
            <w:gridSpan w:val="7"/>
            <w:vMerge w:val="continue"/>
            <w:tcBorders>
              <w:left w:val="single" w:color="auto" w:sz="8" w:space="0"/>
              <w:bottom w:val="single" w:color="000000" w:sz="8" w:space="0"/>
              <w:right w:val="single" w:color="auto" w:sz="8" w:space="0"/>
            </w:tcBorders>
            <w:vAlign w:val="center"/>
          </w:tcPr>
          <w:p w14:paraId="16E34DED">
            <w:pPr>
              <w:spacing w:line="240" w:lineRule="atLeast"/>
              <w:rPr>
                <w:rFonts w:ascii="Times New Roman" w:hAnsi="Times New Roman" w:cs="Times New Roman"/>
                <w:color w:val="000000"/>
                <w:sz w:val="12"/>
                <w:szCs w:val="12"/>
              </w:rPr>
            </w:pPr>
          </w:p>
        </w:tc>
        <w:tc>
          <w:tcPr>
            <w:tcW w:w="335" w:type="pct"/>
            <w:vMerge w:val="continue"/>
            <w:tcBorders>
              <w:top w:val="single" w:color="auto" w:sz="8" w:space="0"/>
              <w:left w:val="single" w:color="auto" w:sz="8" w:space="0"/>
              <w:bottom w:val="single" w:color="000000" w:sz="8" w:space="0"/>
              <w:right w:val="single" w:color="auto" w:sz="8" w:space="0"/>
            </w:tcBorders>
            <w:vAlign w:val="center"/>
          </w:tcPr>
          <w:p w14:paraId="7F9E067F">
            <w:pPr>
              <w:spacing w:line="240" w:lineRule="atLeast"/>
              <w:rPr>
                <w:rFonts w:ascii="Times New Roman" w:hAnsi="Times New Roman" w:cs="Times New Roman"/>
                <w:color w:val="000000"/>
                <w:sz w:val="12"/>
                <w:szCs w:val="12"/>
              </w:rPr>
            </w:pPr>
          </w:p>
        </w:tc>
      </w:tr>
      <w:tr w14:paraId="18D30212">
        <w:tblPrEx>
          <w:tblCellMar>
            <w:top w:w="0" w:type="dxa"/>
            <w:left w:w="108" w:type="dxa"/>
            <w:bottom w:w="0" w:type="dxa"/>
            <w:right w:w="108" w:type="dxa"/>
          </w:tblCellMar>
        </w:tblPrEx>
        <w:trPr>
          <w:cantSplit/>
          <w:trHeight w:val="1780" w:hRule="atLeast"/>
          <w:jc w:val="center"/>
        </w:trPr>
        <w:tc>
          <w:tcPr>
            <w:tcW w:w="122" w:type="pct"/>
            <w:vMerge w:val="continue"/>
            <w:tcBorders>
              <w:top w:val="single" w:color="auto" w:sz="8" w:space="0"/>
              <w:left w:val="single" w:color="auto" w:sz="8" w:space="0"/>
              <w:bottom w:val="single" w:color="000000" w:sz="8" w:space="0"/>
              <w:right w:val="single" w:color="auto" w:sz="8" w:space="0"/>
            </w:tcBorders>
            <w:vAlign w:val="center"/>
          </w:tcPr>
          <w:p w14:paraId="685529CE">
            <w:pPr>
              <w:spacing w:line="240" w:lineRule="atLeast"/>
              <w:rPr>
                <w:rFonts w:ascii="Times New Roman" w:hAnsi="Times New Roman" w:cs="Times New Roman"/>
                <w:color w:val="000000"/>
                <w:sz w:val="12"/>
                <w:szCs w:val="12"/>
              </w:rPr>
            </w:pPr>
          </w:p>
        </w:tc>
        <w:tc>
          <w:tcPr>
            <w:tcW w:w="267" w:type="pct"/>
            <w:vMerge w:val="continue"/>
            <w:tcBorders>
              <w:top w:val="single" w:color="auto" w:sz="8" w:space="0"/>
              <w:left w:val="single" w:color="auto" w:sz="8" w:space="0"/>
              <w:bottom w:val="single" w:color="000000" w:sz="8" w:space="0"/>
              <w:right w:val="single" w:color="auto" w:sz="8" w:space="0"/>
            </w:tcBorders>
            <w:vAlign w:val="center"/>
          </w:tcPr>
          <w:p w14:paraId="7851F86F">
            <w:pPr>
              <w:spacing w:line="240" w:lineRule="atLeast"/>
              <w:rPr>
                <w:rFonts w:ascii="Times New Roman" w:hAnsi="Times New Roman" w:cs="Times New Roman"/>
                <w:color w:val="000000"/>
                <w:sz w:val="12"/>
                <w:szCs w:val="12"/>
              </w:rPr>
            </w:pPr>
          </w:p>
        </w:tc>
        <w:tc>
          <w:tcPr>
            <w:tcW w:w="293" w:type="pct"/>
            <w:vMerge w:val="continue"/>
            <w:tcBorders>
              <w:top w:val="single" w:color="auto" w:sz="8" w:space="0"/>
              <w:left w:val="single" w:color="auto" w:sz="8" w:space="0"/>
              <w:bottom w:val="single" w:color="000000" w:sz="8" w:space="0"/>
              <w:right w:val="single" w:color="auto" w:sz="8" w:space="0"/>
            </w:tcBorders>
            <w:vAlign w:val="center"/>
          </w:tcPr>
          <w:p w14:paraId="34A55D6A">
            <w:pPr>
              <w:spacing w:line="240" w:lineRule="atLeast"/>
              <w:rPr>
                <w:rFonts w:ascii="Times New Roman" w:hAnsi="Times New Roman" w:cs="Times New Roman"/>
                <w:color w:val="000000"/>
                <w:sz w:val="12"/>
                <w:szCs w:val="12"/>
              </w:rPr>
            </w:pPr>
          </w:p>
        </w:tc>
        <w:tc>
          <w:tcPr>
            <w:tcW w:w="241" w:type="pct"/>
            <w:vMerge w:val="continue"/>
            <w:tcBorders>
              <w:top w:val="single" w:color="auto" w:sz="8" w:space="0"/>
              <w:left w:val="single" w:color="auto" w:sz="8" w:space="0"/>
              <w:bottom w:val="single" w:color="000000" w:sz="8" w:space="0"/>
              <w:right w:val="single" w:color="auto" w:sz="8" w:space="0"/>
            </w:tcBorders>
            <w:vAlign w:val="center"/>
          </w:tcPr>
          <w:p w14:paraId="5F8A9742">
            <w:pPr>
              <w:spacing w:line="240" w:lineRule="atLeast"/>
              <w:rPr>
                <w:rFonts w:ascii="Times New Roman" w:hAnsi="Times New Roman" w:cs="Times New Roman"/>
                <w:color w:val="000000"/>
                <w:sz w:val="12"/>
                <w:szCs w:val="12"/>
              </w:rPr>
            </w:pPr>
          </w:p>
        </w:tc>
        <w:tc>
          <w:tcPr>
            <w:tcW w:w="175" w:type="pct"/>
            <w:vMerge w:val="continue"/>
            <w:tcBorders>
              <w:top w:val="nil"/>
              <w:left w:val="single" w:color="auto" w:sz="8" w:space="0"/>
              <w:bottom w:val="single" w:color="000000" w:sz="8" w:space="0"/>
              <w:right w:val="nil"/>
            </w:tcBorders>
            <w:vAlign w:val="center"/>
          </w:tcPr>
          <w:p w14:paraId="47BA46DA">
            <w:pPr>
              <w:spacing w:line="240" w:lineRule="atLeast"/>
              <w:rPr>
                <w:rFonts w:ascii="Times New Roman" w:hAnsi="Times New Roman" w:cs="Times New Roman"/>
                <w:color w:val="000000"/>
                <w:sz w:val="12"/>
                <w:szCs w:val="12"/>
              </w:rPr>
            </w:pPr>
          </w:p>
        </w:tc>
        <w:tc>
          <w:tcPr>
            <w:tcW w:w="175" w:type="pct"/>
            <w:vMerge w:val="continue"/>
            <w:tcBorders>
              <w:top w:val="nil"/>
              <w:left w:val="single" w:color="auto" w:sz="8" w:space="0"/>
              <w:bottom w:val="single" w:color="000000" w:sz="8" w:space="0"/>
              <w:right w:val="single" w:color="auto" w:sz="8" w:space="0"/>
            </w:tcBorders>
            <w:vAlign w:val="center"/>
          </w:tcPr>
          <w:p w14:paraId="7A631B8C">
            <w:pPr>
              <w:spacing w:line="240" w:lineRule="atLeast"/>
              <w:rPr>
                <w:rFonts w:ascii="Times New Roman" w:hAnsi="Times New Roman" w:cs="Times New Roman"/>
                <w:color w:val="000000"/>
                <w:sz w:val="12"/>
                <w:szCs w:val="12"/>
              </w:rPr>
            </w:pPr>
          </w:p>
        </w:tc>
        <w:tc>
          <w:tcPr>
            <w:tcW w:w="179" w:type="pct"/>
            <w:vMerge w:val="continue"/>
            <w:tcBorders>
              <w:top w:val="nil"/>
              <w:left w:val="nil"/>
              <w:bottom w:val="single" w:color="000000" w:sz="8" w:space="0"/>
              <w:right w:val="single" w:color="auto" w:sz="8" w:space="0"/>
            </w:tcBorders>
            <w:vAlign w:val="center"/>
          </w:tcPr>
          <w:p w14:paraId="20EFA2B0">
            <w:pPr>
              <w:spacing w:line="240" w:lineRule="atLeast"/>
              <w:rPr>
                <w:rFonts w:ascii="Times New Roman" w:hAnsi="Times New Roman" w:cs="Times New Roman"/>
                <w:color w:val="000000"/>
                <w:sz w:val="12"/>
                <w:szCs w:val="12"/>
              </w:rPr>
            </w:pPr>
          </w:p>
        </w:tc>
        <w:tc>
          <w:tcPr>
            <w:tcW w:w="267" w:type="pct"/>
            <w:vMerge w:val="continue"/>
            <w:tcBorders>
              <w:top w:val="single" w:color="auto" w:sz="8" w:space="0"/>
              <w:left w:val="single" w:color="auto" w:sz="8" w:space="0"/>
              <w:bottom w:val="single" w:color="000000" w:sz="8" w:space="0"/>
              <w:right w:val="single" w:color="auto" w:sz="8" w:space="0"/>
            </w:tcBorders>
            <w:vAlign w:val="center"/>
          </w:tcPr>
          <w:p w14:paraId="16AE3FCE">
            <w:pPr>
              <w:spacing w:line="240" w:lineRule="atLeast"/>
              <w:rPr>
                <w:rFonts w:ascii="Times New Roman" w:hAnsi="Times New Roman" w:cs="Times New Roman"/>
                <w:color w:val="000000"/>
                <w:sz w:val="12"/>
                <w:szCs w:val="12"/>
              </w:rPr>
            </w:pPr>
          </w:p>
        </w:tc>
        <w:tc>
          <w:tcPr>
            <w:tcW w:w="266" w:type="pct"/>
            <w:vMerge w:val="continue"/>
            <w:tcBorders>
              <w:top w:val="nil"/>
              <w:left w:val="single" w:color="auto" w:sz="8" w:space="0"/>
              <w:bottom w:val="single" w:color="000000" w:sz="8" w:space="0"/>
              <w:right w:val="nil"/>
            </w:tcBorders>
            <w:vAlign w:val="center"/>
          </w:tcPr>
          <w:p w14:paraId="718D35D4">
            <w:pPr>
              <w:spacing w:line="240" w:lineRule="atLeast"/>
              <w:rPr>
                <w:rFonts w:ascii="Times New Roman" w:hAnsi="Times New Roman" w:cs="Times New Roman"/>
                <w:color w:val="000000"/>
                <w:sz w:val="12"/>
                <w:szCs w:val="12"/>
              </w:rPr>
            </w:pPr>
          </w:p>
        </w:tc>
        <w:tc>
          <w:tcPr>
            <w:tcW w:w="329" w:type="pct"/>
            <w:vMerge w:val="continue"/>
            <w:tcBorders>
              <w:top w:val="nil"/>
              <w:left w:val="single" w:color="auto" w:sz="8" w:space="0"/>
              <w:bottom w:val="single" w:color="000000" w:sz="8" w:space="0"/>
              <w:right w:val="single" w:color="auto" w:sz="8" w:space="0"/>
            </w:tcBorders>
            <w:vAlign w:val="center"/>
          </w:tcPr>
          <w:p w14:paraId="262BE95F">
            <w:pPr>
              <w:spacing w:line="240" w:lineRule="atLeast"/>
              <w:rPr>
                <w:rFonts w:ascii="Times New Roman" w:hAnsi="Times New Roman" w:cs="Times New Roman"/>
                <w:color w:val="000000"/>
                <w:sz w:val="12"/>
                <w:szCs w:val="12"/>
              </w:rPr>
            </w:pPr>
          </w:p>
        </w:tc>
        <w:tc>
          <w:tcPr>
            <w:tcW w:w="202" w:type="pct"/>
            <w:tcBorders>
              <w:top w:val="nil"/>
              <w:left w:val="nil"/>
              <w:bottom w:val="nil"/>
              <w:right w:val="nil"/>
            </w:tcBorders>
            <w:textDirection w:val="btLr"/>
          </w:tcPr>
          <w:p w14:paraId="0558817E">
            <w:pPr>
              <w:spacing w:line="240" w:lineRule="atLeast"/>
              <w:ind w:left="113" w:right="113"/>
              <w:jc w:val="center"/>
              <w:rPr>
                <w:rFonts w:ascii="Times New Roman" w:hAnsi="Times New Roman" w:cs="Times New Roman"/>
                <w:color w:val="000000"/>
                <w:sz w:val="12"/>
                <w:szCs w:val="12"/>
              </w:rPr>
            </w:pPr>
            <w:r>
              <w:rPr>
                <w:rFonts w:ascii="Times New Roman" w:hAnsi="Times New Roman" w:cs="Times New Roman"/>
                <w:color w:val="000000"/>
                <w:sz w:val="12"/>
                <w:szCs w:val="12"/>
              </w:rPr>
              <w:t>классное руководство</w:t>
            </w:r>
          </w:p>
        </w:tc>
        <w:tc>
          <w:tcPr>
            <w:tcW w:w="204" w:type="pct"/>
            <w:tcBorders>
              <w:top w:val="nil"/>
              <w:left w:val="single" w:color="auto" w:sz="8" w:space="0"/>
              <w:bottom w:val="single" w:color="auto" w:sz="8" w:space="0"/>
              <w:right w:val="single" w:color="auto" w:sz="8" w:space="0"/>
            </w:tcBorders>
            <w:textDirection w:val="btLr"/>
          </w:tcPr>
          <w:p w14:paraId="1B1889E4">
            <w:pPr>
              <w:spacing w:line="240" w:lineRule="atLeast"/>
              <w:ind w:left="113" w:right="113"/>
              <w:jc w:val="center"/>
              <w:rPr>
                <w:rFonts w:ascii="Times New Roman" w:hAnsi="Times New Roman" w:cs="Times New Roman"/>
                <w:color w:val="000000"/>
                <w:sz w:val="12"/>
                <w:szCs w:val="12"/>
              </w:rPr>
            </w:pPr>
            <w:r>
              <w:rPr>
                <w:rFonts w:ascii="Times New Roman" w:hAnsi="Times New Roman" w:cs="Times New Roman"/>
                <w:color w:val="000000"/>
                <w:sz w:val="12"/>
                <w:szCs w:val="12"/>
              </w:rPr>
              <w:t>проверка тетрадей</w:t>
            </w:r>
          </w:p>
        </w:tc>
        <w:tc>
          <w:tcPr>
            <w:tcW w:w="178" w:type="pct"/>
            <w:tcBorders>
              <w:top w:val="nil"/>
              <w:left w:val="nil"/>
              <w:bottom w:val="single" w:color="auto" w:sz="8" w:space="0"/>
              <w:right w:val="single" w:color="auto" w:sz="8" w:space="0"/>
            </w:tcBorders>
            <w:textDirection w:val="btLr"/>
          </w:tcPr>
          <w:p w14:paraId="1C488CDC">
            <w:pPr>
              <w:spacing w:line="240" w:lineRule="atLeast"/>
              <w:ind w:left="113" w:right="113"/>
              <w:jc w:val="center"/>
              <w:rPr>
                <w:rFonts w:ascii="Times New Roman" w:hAnsi="Times New Roman" w:cs="Times New Roman"/>
                <w:color w:val="000000"/>
                <w:sz w:val="12"/>
                <w:szCs w:val="12"/>
              </w:rPr>
            </w:pPr>
            <w:r>
              <w:rPr>
                <w:rFonts w:ascii="Times New Roman" w:hAnsi="Times New Roman" w:cs="Times New Roman"/>
                <w:color w:val="000000"/>
                <w:sz w:val="12"/>
                <w:szCs w:val="12"/>
              </w:rPr>
              <w:t>и т.д.</w:t>
            </w:r>
          </w:p>
        </w:tc>
        <w:tc>
          <w:tcPr>
            <w:tcW w:w="204" w:type="pct"/>
            <w:tcBorders>
              <w:top w:val="nil"/>
              <w:left w:val="nil"/>
              <w:bottom w:val="single" w:color="auto" w:sz="8" w:space="0"/>
              <w:right w:val="single" w:color="auto" w:sz="8" w:space="0"/>
            </w:tcBorders>
            <w:textDirection w:val="btLr"/>
          </w:tcPr>
          <w:p w14:paraId="0502416A">
            <w:pPr>
              <w:spacing w:line="240" w:lineRule="atLeast"/>
              <w:ind w:left="113" w:right="113"/>
              <w:jc w:val="center"/>
              <w:rPr>
                <w:rFonts w:ascii="Times New Roman" w:hAnsi="Times New Roman" w:cs="Times New Roman"/>
                <w:color w:val="000000"/>
                <w:sz w:val="12"/>
                <w:szCs w:val="12"/>
              </w:rPr>
            </w:pPr>
            <w:r>
              <w:rPr>
                <w:rFonts w:ascii="Times New Roman" w:hAnsi="Times New Roman" w:cs="Times New Roman"/>
                <w:color w:val="000000"/>
                <w:sz w:val="12"/>
                <w:szCs w:val="12"/>
              </w:rPr>
              <w:t>надбавка за выслугу лет</w:t>
            </w:r>
          </w:p>
        </w:tc>
        <w:tc>
          <w:tcPr>
            <w:tcW w:w="223" w:type="pct"/>
            <w:tcBorders>
              <w:top w:val="nil"/>
              <w:left w:val="nil"/>
              <w:bottom w:val="single" w:color="auto" w:sz="8" w:space="0"/>
              <w:right w:val="single" w:color="auto" w:sz="8" w:space="0"/>
            </w:tcBorders>
            <w:textDirection w:val="btLr"/>
          </w:tcPr>
          <w:p w14:paraId="25E4770E">
            <w:pPr>
              <w:spacing w:line="240" w:lineRule="atLeast"/>
              <w:ind w:left="113" w:right="113"/>
              <w:jc w:val="center"/>
              <w:rPr>
                <w:rFonts w:ascii="Times New Roman" w:hAnsi="Times New Roman" w:cs="Times New Roman"/>
                <w:color w:val="000000"/>
                <w:sz w:val="12"/>
                <w:szCs w:val="12"/>
              </w:rPr>
            </w:pPr>
            <w:r>
              <w:rPr>
                <w:rFonts w:ascii="Times New Roman" w:hAnsi="Times New Roman" w:cs="Times New Roman"/>
                <w:color w:val="000000"/>
                <w:sz w:val="12"/>
                <w:szCs w:val="12"/>
              </w:rPr>
              <w:t>надбавка за наличие почетного звания</w:t>
            </w:r>
          </w:p>
        </w:tc>
        <w:tc>
          <w:tcPr>
            <w:tcW w:w="292" w:type="pct"/>
            <w:tcBorders>
              <w:top w:val="nil"/>
              <w:left w:val="nil"/>
              <w:bottom w:val="single" w:color="auto" w:sz="8" w:space="0"/>
              <w:right w:val="single" w:color="auto" w:sz="8" w:space="0"/>
            </w:tcBorders>
            <w:textDirection w:val="btLr"/>
          </w:tcPr>
          <w:p w14:paraId="73294695">
            <w:pPr>
              <w:spacing w:line="240" w:lineRule="atLeast"/>
              <w:ind w:left="113" w:right="113"/>
              <w:jc w:val="center"/>
              <w:rPr>
                <w:rFonts w:ascii="Times New Roman" w:hAnsi="Times New Roman" w:cs="Times New Roman"/>
                <w:color w:val="000000"/>
                <w:sz w:val="12"/>
                <w:szCs w:val="12"/>
              </w:rPr>
            </w:pPr>
            <w:r>
              <w:rPr>
                <w:rFonts w:ascii="Times New Roman" w:hAnsi="Times New Roman" w:cs="Times New Roman"/>
                <w:color w:val="000000"/>
                <w:sz w:val="12"/>
                <w:szCs w:val="12"/>
              </w:rPr>
              <w:t>надбавка  за наличие квалификационной категории</w:t>
            </w:r>
          </w:p>
        </w:tc>
        <w:tc>
          <w:tcPr>
            <w:tcW w:w="204" w:type="pct"/>
            <w:tcBorders>
              <w:top w:val="nil"/>
              <w:left w:val="nil"/>
              <w:bottom w:val="single" w:color="auto" w:sz="8" w:space="0"/>
              <w:right w:val="single" w:color="auto" w:sz="8" w:space="0"/>
            </w:tcBorders>
            <w:textDirection w:val="btLr"/>
          </w:tcPr>
          <w:p w14:paraId="5C270D27">
            <w:pPr>
              <w:spacing w:line="240" w:lineRule="atLeast"/>
              <w:ind w:left="113" w:right="113"/>
              <w:jc w:val="center"/>
              <w:rPr>
                <w:rFonts w:ascii="Times New Roman" w:hAnsi="Times New Roman" w:cs="Times New Roman"/>
                <w:color w:val="000000"/>
                <w:sz w:val="12"/>
                <w:szCs w:val="12"/>
              </w:rPr>
            </w:pPr>
            <w:r>
              <w:rPr>
                <w:rFonts w:ascii="Times New Roman" w:hAnsi="Times New Roman" w:cs="Times New Roman"/>
                <w:color w:val="000000"/>
                <w:sz w:val="12"/>
                <w:szCs w:val="12"/>
              </w:rPr>
              <w:t>надбавка за наличие ученой степени</w:t>
            </w:r>
          </w:p>
        </w:tc>
        <w:tc>
          <w:tcPr>
            <w:tcW w:w="239" w:type="pct"/>
            <w:tcBorders>
              <w:top w:val="single" w:color="auto" w:sz="8" w:space="0"/>
              <w:left w:val="single" w:color="auto" w:sz="8" w:space="0"/>
              <w:bottom w:val="single" w:color="000000" w:sz="8" w:space="0"/>
              <w:right w:val="single" w:color="auto" w:sz="8" w:space="0"/>
            </w:tcBorders>
            <w:textDirection w:val="btLr"/>
          </w:tcPr>
          <w:p w14:paraId="0D7771D7">
            <w:pPr>
              <w:spacing w:line="240" w:lineRule="atLeast"/>
              <w:ind w:left="113" w:right="113"/>
              <w:rPr>
                <w:rFonts w:ascii="Times New Roman" w:hAnsi="Times New Roman" w:cs="Times New Roman"/>
                <w:color w:val="000000"/>
                <w:sz w:val="12"/>
                <w:szCs w:val="12"/>
              </w:rPr>
            </w:pPr>
            <w:r>
              <w:rPr>
                <w:rFonts w:ascii="Times New Roman" w:hAnsi="Times New Roman" w:cs="Times New Roman"/>
                <w:color w:val="000000"/>
                <w:sz w:val="12"/>
                <w:szCs w:val="12"/>
              </w:rPr>
              <w:t>Надбавка за работу в сельской местности</w:t>
            </w:r>
          </w:p>
        </w:tc>
        <w:tc>
          <w:tcPr>
            <w:tcW w:w="351" w:type="pct"/>
            <w:tcBorders>
              <w:top w:val="single" w:color="auto" w:sz="8" w:space="0"/>
              <w:left w:val="single" w:color="auto" w:sz="8" w:space="0"/>
              <w:bottom w:val="single" w:color="000000" w:sz="8" w:space="0"/>
              <w:right w:val="single" w:color="auto" w:sz="8" w:space="0"/>
            </w:tcBorders>
            <w:textDirection w:val="btLr"/>
          </w:tcPr>
          <w:p w14:paraId="2511500B">
            <w:pPr>
              <w:spacing w:line="240" w:lineRule="atLeast"/>
              <w:ind w:left="113" w:right="113"/>
              <w:rPr>
                <w:rFonts w:ascii="Times New Roman" w:hAnsi="Times New Roman" w:cs="Times New Roman"/>
                <w:color w:val="000000"/>
                <w:sz w:val="12"/>
                <w:szCs w:val="12"/>
              </w:rPr>
            </w:pPr>
            <w:r>
              <w:rPr>
                <w:rFonts w:ascii="Times New Roman" w:hAnsi="Times New Roman" w:cs="Times New Roman"/>
                <w:color w:val="000000"/>
                <w:sz w:val="12"/>
                <w:szCs w:val="12"/>
              </w:rPr>
              <w:t>Надбавка молодым специалистам, осуществляющим  педагогическую деятельность</w:t>
            </w:r>
          </w:p>
        </w:tc>
        <w:tc>
          <w:tcPr>
            <w:tcW w:w="254" w:type="pct"/>
            <w:tcBorders>
              <w:top w:val="single" w:color="auto" w:sz="8" w:space="0"/>
              <w:left w:val="single" w:color="auto" w:sz="8" w:space="0"/>
              <w:bottom w:val="single" w:color="000000" w:sz="8" w:space="0"/>
              <w:right w:val="single" w:color="auto" w:sz="8" w:space="0"/>
            </w:tcBorders>
            <w:textDirection w:val="btLr"/>
          </w:tcPr>
          <w:p w14:paraId="6D2AF74A">
            <w:pPr>
              <w:spacing w:line="240" w:lineRule="atLeast"/>
              <w:ind w:left="113" w:right="113"/>
              <w:rPr>
                <w:rFonts w:ascii="Times New Roman" w:hAnsi="Times New Roman" w:cs="Times New Roman"/>
                <w:color w:val="000000"/>
                <w:sz w:val="12"/>
                <w:szCs w:val="12"/>
              </w:rPr>
            </w:pPr>
            <w:r>
              <w:rPr>
                <w:rFonts w:ascii="Times New Roman" w:hAnsi="Times New Roman" w:cs="Times New Roman"/>
                <w:color w:val="000000"/>
                <w:sz w:val="12"/>
                <w:szCs w:val="12"/>
              </w:rPr>
              <w:t>Надбавка за интенсивность труда</w:t>
            </w:r>
          </w:p>
        </w:tc>
        <w:tc>
          <w:tcPr>
            <w:tcW w:w="335" w:type="pct"/>
            <w:vMerge w:val="continue"/>
            <w:tcBorders>
              <w:top w:val="single" w:color="auto" w:sz="8" w:space="0"/>
              <w:left w:val="single" w:color="auto" w:sz="8" w:space="0"/>
              <w:bottom w:val="single" w:color="000000" w:sz="8" w:space="0"/>
              <w:right w:val="single" w:color="auto" w:sz="8" w:space="0"/>
            </w:tcBorders>
            <w:vAlign w:val="center"/>
          </w:tcPr>
          <w:p w14:paraId="13ECED03">
            <w:pPr>
              <w:spacing w:line="240" w:lineRule="atLeast"/>
              <w:rPr>
                <w:rFonts w:ascii="Times New Roman" w:hAnsi="Times New Roman" w:cs="Times New Roman"/>
                <w:color w:val="000000"/>
                <w:sz w:val="12"/>
                <w:szCs w:val="12"/>
              </w:rPr>
            </w:pPr>
          </w:p>
        </w:tc>
      </w:tr>
      <w:tr w14:paraId="005E4AFF">
        <w:tblPrEx>
          <w:tblCellMar>
            <w:top w:w="0" w:type="dxa"/>
            <w:left w:w="108" w:type="dxa"/>
            <w:bottom w:w="0" w:type="dxa"/>
            <w:right w:w="108" w:type="dxa"/>
          </w:tblCellMar>
        </w:tblPrEx>
        <w:trPr>
          <w:trHeight w:val="345" w:hRule="atLeast"/>
          <w:jc w:val="center"/>
        </w:trPr>
        <w:tc>
          <w:tcPr>
            <w:tcW w:w="122" w:type="pct"/>
            <w:tcBorders>
              <w:top w:val="nil"/>
              <w:left w:val="single" w:color="auto" w:sz="8" w:space="0"/>
              <w:bottom w:val="single" w:color="auto" w:sz="4" w:space="0"/>
              <w:right w:val="single" w:color="auto" w:sz="8" w:space="0"/>
            </w:tcBorders>
            <w:vAlign w:val="center"/>
          </w:tcPr>
          <w:p w14:paraId="4D8778FC">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1</w:t>
            </w:r>
          </w:p>
        </w:tc>
        <w:tc>
          <w:tcPr>
            <w:tcW w:w="267" w:type="pct"/>
            <w:tcBorders>
              <w:top w:val="nil"/>
              <w:left w:val="nil"/>
              <w:bottom w:val="single" w:color="auto" w:sz="4" w:space="0"/>
              <w:right w:val="single" w:color="auto" w:sz="8" w:space="0"/>
            </w:tcBorders>
            <w:vAlign w:val="center"/>
          </w:tcPr>
          <w:p w14:paraId="2C3082B2">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2</w:t>
            </w:r>
          </w:p>
        </w:tc>
        <w:tc>
          <w:tcPr>
            <w:tcW w:w="293" w:type="pct"/>
            <w:tcBorders>
              <w:top w:val="nil"/>
              <w:left w:val="nil"/>
              <w:bottom w:val="single" w:color="auto" w:sz="4" w:space="0"/>
              <w:right w:val="single" w:color="auto" w:sz="8" w:space="0"/>
            </w:tcBorders>
            <w:vAlign w:val="center"/>
          </w:tcPr>
          <w:p w14:paraId="54E9EE6E">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3</w:t>
            </w:r>
          </w:p>
        </w:tc>
        <w:tc>
          <w:tcPr>
            <w:tcW w:w="241" w:type="pct"/>
            <w:tcBorders>
              <w:top w:val="nil"/>
              <w:left w:val="nil"/>
              <w:bottom w:val="single" w:color="auto" w:sz="4" w:space="0"/>
              <w:right w:val="single" w:color="auto" w:sz="8" w:space="0"/>
            </w:tcBorders>
            <w:vAlign w:val="center"/>
          </w:tcPr>
          <w:p w14:paraId="14EE5BED">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4</w:t>
            </w:r>
          </w:p>
        </w:tc>
        <w:tc>
          <w:tcPr>
            <w:tcW w:w="175" w:type="pct"/>
            <w:tcBorders>
              <w:top w:val="nil"/>
              <w:left w:val="nil"/>
              <w:bottom w:val="single" w:color="auto" w:sz="4" w:space="0"/>
              <w:right w:val="single" w:color="auto" w:sz="8" w:space="0"/>
            </w:tcBorders>
            <w:vAlign w:val="center"/>
          </w:tcPr>
          <w:p w14:paraId="4166A3A7">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5</w:t>
            </w:r>
          </w:p>
        </w:tc>
        <w:tc>
          <w:tcPr>
            <w:tcW w:w="175" w:type="pct"/>
            <w:tcBorders>
              <w:top w:val="nil"/>
              <w:left w:val="nil"/>
              <w:bottom w:val="single" w:color="auto" w:sz="4" w:space="0"/>
              <w:right w:val="single" w:color="auto" w:sz="8" w:space="0"/>
            </w:tcBorders>
            <w:vAlign w:val="center"/>
          </w:tcPr>
          <w:p w14:paraId="05B68D6E">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6</w:t>
            </w:r>
          </w:p>
        </w:tc>
        <w:tc>
          <w:tcPr>
            <w:tcW w:w="179" w:type="pct"/>
            <w:tcBorders>
              <w:top w:val="nil"/>
              <w:left w:val="nil"/>
              <w:bottom w:val="single" w:color="auto" w:sz="4" w:space="0"/>
              <w:right w:val="single" w:color="auto" w:sz="8" w:space="0"/>
            </w:tcBorders>
            <w:vAlign w:val="center"/>
          </w:tcPr>
          <w:p w14:paraId="10F07694">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7</w:t>
            </w:r>
          </w:p>
        </w:tc>
        <w:tc>
          <w:tcPr>
            <w:tcW w:w="267" w:type="pct"/>
            <w:tcBorders>
              <w:top w:val="nil"/>
              <w:left w:val="nil"/>
              <w:bottom w:val="single" w:color="auto" w:sz="4" w:space="0"/>
              <w:right w:val="single" w:color="auto" w:sz="8" w:space="0"/>
            </w:tcBorders>
            <w:vAlign w:val="center"/>
          </w:tcPr>
          <w:p w14:paraId="64892AC6">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8</w:t>
            </w:r>
          </w:p>
        </w:tc>
        <w:tc>
          <w:tcPr>
            <w:tcW w:w="266" w:type="pct"/>
            <w:tcBorders>
              <w:top w:val="nil"/>
              <w:left w:val="nil"/>
              <w:bottom w:val="single" w:color="auto" w:sz="4" w:space="0"/>
              <w:right w:val="single" w:color="auto" w:sz="8" w:space="0"/>
            </w:tcBorders>
            <w:noWrap/>
            <w:vAlign w:val="center"/>
          </w:tcPr>
          <w:p w14:paraId="302E6674">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9</w:t>
            </w:r>
          </w:p>
        </w:tc>
        <w:tc>
          <w:tcPr>
            <w:tcW w:w="329" w:type="pct"/>
            <w:tcBorders>
              <w:top w:val="nil"/>
              <w:left w:val="nil"/>
              <w:bottom w:val="single" w:color="auto" w:sz="4" w:space="0"/>
              <w:right w:val="single" w:color="auto" w:sz="8" w:space="0"/>
            </w:tcBorders>
            <w:noWrap/>
            <w:vAlign w:val="center"/>
          </w:tcPr>
          <w:p w14:paraId="239438C3">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10</w:t>
            </w:r>
          </w:p>
        </w:tc>
        <w:tc>
          <w:tcPr>
            <w:tcW w:w="202" w:type="pct"/>
            <w:tcBorders>
              <w:top w:val="single" w:color="auto" w:sz="8" w:space="0"/>
              <w:left w:val="nil"/>
              <w:bottom w:val="single" w:color="auto" w:sz="4" w:space="0"/>
              <w:right w:val="single" w:color="auto" w:sz="8" w:space="0"/>
            </w:tcBorders>
            <w:noWrap/>
            <w:vAlign w:val="center"/>
          </w:tcPr>
          <w:p w14:paraId="68E38234">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10.1</w:t>
            </w:r>
          </w:p>
        </w:tc>
        <w:tc>
          <w:tcPr>
            <w:tcW w:w="204" w:type="pct"/>
            <w:tcBorders>
              <w:top w:val="nil"/>
              <w:left w:val="nil"/>
              <w:bottom w:val="single" w:color="auto" w:sz="4" w:space="0"/>
              <w:right w:val="single" w:color="auto" w:sz="8" w:space="0"/>
            </w:tcBorders>
            <w:noWrap/>
            <w:vAlign w:val="center"/>
          </w:tcPr>
          <w:p w14:paraId="492C7E01">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10.2</w:t>
            </w:r>
          </w:p>
        </w:tc>
        <w:tc>
          <w:tcPr>
            <w:tcW w:w="178" w:type="pct"/>
            <w:tcBorders>
              <w:top w:val="nil"/>
              <w:left w:val="nil"/>
              <w:bottom w:val="single" w:color="auto" w:sz="4" w:space="0"/>
              <w:right w:val="single" w:color="auto" w:sz="8" w:space="0"/>
            </w:tcBorders>
            <w:noWrap/>
            <w:vAlign w:val="center"/>
          </w:tcPr>
          <w:p w14:paraId="093C0E98">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10.3</w:t>
            </w:r>
          </w:p>
        </w:tc>
        <w:tc>
          <w:tcPr>
            <w:tcW w:w="204" w:type="pct"/>
            <w:tcBorders>
              <w:top w:val="nil"/>
              <w:left w:val="nil"/>
              <w:bottom w:val="single" w:color="auto" w:sz="4" w:space="0"/>
              <w:right w:val="nil"/>
            </w:tcBorders>
            <w:noWrap/>
            <w:vAlign w:val="center"/>
          </w:tcPr>
          <w:p w14:paraId="06F66439">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11</w:t>
            </w:r>
          </w:p>
        </w:tc>
        <w:tc>
          <w:tcPr>
            <w:tcW w:w="223" w:type="pct"/>
            <w:tcBorders>
              <w:top w:val="nil"/>
              <w:left w:val="single" w:color="auto" w:sz="8" w:space="0"/>
              <w:bottom w:val="single" w:color="auto" w:sz="4" w:space="0"/>
              <w:right w:val="single" w:color="auto" w:sz="8" w:space="0"/>
            </w:tcBorders>
            <w:noWrap/>
            <w:vAlign w:val="center"/>
          </w:tcPr>
          <w:p w14:paraId="5EA2BF91">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12</w:t>
            </w:r>
          </w:p>
        </w:tc>
        <w:tc>
          <w:tcPr>
            <w:tcW w:w="292" w:type="pct"/>
            <w:tcBorders>
              <w:top w:val="nil"/>
              <w:left w:val="nil"/>
              <w:bottom w:val="single" w:color="auto" w:sz="4" w:space="0"/>
              <w:right w:val="single" w:color="auto" w:sz="8" w:space="0"/>
            </w:tcBorders>
            <w:noWrap/>
            <w:vAlign w:val="center"/>
          </w:tcPr>
          <w:p w14:paraId="1385199B">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13</w:t>
            </w:r>
          </w:p>
        </w:tc>
        <w:tc>
          <w:tcPr>
            <w:tcW w:w="204" w:type="pct"/>
            <w:tcBorders>
              <w:top w:val="nil"/>
              <w:left w:val="nil"/>
              <w:bottom w:val="single" w:color="auto" w:sz="4" w:space="0"/>
              <w:right w:val="single" w:color="auto" w:sz="8" w:space="0"/>
            </w:tcBorders>
            <w:noWrap/>
            <w:vAlign w:val="center"/>
          </w:tcPr>
          <w:p w14:paraId="6E731AC8">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14</w:t>
            </w:r>
          </w:p>
        </w:tc>
        <w:tc>
          <w:tcPr>
            <w:tcW w:w="239" w:type="pct"/>
            <w:tcBorders>
              <w:top w:val="nil"/>
              <w:left w:val="nil"/>
              <w:bottom w:val="single" w:color="auto" w:sz="4" w:space="0"/>
              <w:right w:val="single" w:color="auto" w:sz="4" w:space="0"/>
            </w:tcBorders>
            <w:vAlign w:val="center"/>
          </w:tcPr>
          <w:p w14:paraId="2E9C6AEC">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15</w:t>
            </w:r>
          </w:p>
        </w:tc>
        <w:tc>
          <w:tcPr>
            <w:tcW w:w="351" w:type="pct"/>
            <w:tcBorders>
              <w:top w:val="single" w:color="auto" w:sz="4" w:space="0"/>
              <w:left w:val="single" w:color="auto" w:sz="4" w:space="0"/>
              <w:bottom w:val="single" w:color="auto" w:sz="4" w:space="0"/>
              <w:right w:val="single" w:color="auto" w:sz="4" w:space="0"/>
            </w:tcBorders>
            <w:vAlign w:val="center"/>
          </w:tcPr>
          <w:p w14:paraId="30FF3F43">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16</w:t>
            </w:r>
          </w:p>
        </w:tc>
        <w:tc>
          <w:tcPr>
            <w:tcW w:w="254" w:type="pct"/>
            <w:tcBorders>
              <w:top w:val="single" w:color="auto" w:sz="4" w:space="0"/>
              <w:left w:val="single" w:color="auto" w:sz="4" w:space="0"/>
              <w:bottom w:val="single" w:color="auto" w:sz="4" w:space="0"/>
              <w:right w:val="single" w:color="auto" w:sz="4" w:space="0"/>
            </w:tcBorders>
            <w:vAlign w:val="center"/>
          </w:tcPr>
          <w:p w14:paraId="4732056F">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17</w:t>
            </w:r>
          </w:p>
        </w:tc>
        <w:tc>
          <w:tcPr>
            <w:tcW w:w="335" w:type="pct"/>
            <w:tcBorders>
              <w:top w:val="single" w:color="auto" w:sz="4" w:space="0"/>
              <w:left w:val="single" w:color="auto" w:sz="4" w:space="0"/>
              <w:bottom w:val="single" w:color="auto" w:sz="4" w:space="0"/>
              <w:right w:val="single" w:color="auto" w:sz="4" w:space="0"/>
            </w:tcBorders>
            <w:vAlign w:val="center"/>
          </w:tcPr>
          <w:p w14:paraId="00E6270F">
            <w:pPr>
              <w:spacing w:line="240" w:lineRule="atLeast"/>
              <w:jc w:val="center"/>
              <w:rPr>
                <w:rFonts w:ascii="Times New Roman" w:hAnsi="Times New Roman" w:cs="Times New Roman"/>
                <w:color w:val="000000"/>
                <w:sz w:val="12"/>
                <w:szCs w:val="12"/>
              </w:rPr>
            </w:pPr>
            <w:r>
              <w:rPr>
                <w:rFonts w:ascii="Times New Roman" w:hAnsi="Times New Roman" w:cs="Times New Roman"/>
                <w:color w:val="000000"/>
                <w:sz w:val="12"/>
                <w:szCs w:val="12"/>
              </w:rPr>
              <w:t>18=8+9+10+11+12+13+14+15+16+17</w:t>
            </w:r>
          </w:p>
        </w:tc>
      </w:tr>
      <w:tr w14:paraId="48CC47A8">
        <w:tblPrEx>
          <w:tblCellMar>
            <w:top w:w="0" w:type="dxa"/>
            <w:left w:w="108" w:type="dxa"/>
            <w:bottom w:w="0" w:type="dxa"/>
            <w:right w:w="108" w:type="dxa"/>
          </w:tblCellMar>
        </w:tblPrEx>
        <w:trPr>
          <w:trHeight w:val="345" w:hRule="atLeast"/>
          <w:jc w:val="center"/>
        </w:trPr>
        <w:tc>
          <w:tcPr>
            <w:tcW w:w="122" w:type="pct"/>
            <w:tcBorders>
              <w:top w:val="single" w:color="auto" w:sz="4" w:space="0"/>
              <w:left w:val="single" w:color="auto" w:sz="4" w:space="0"/>
              <w:bottom w:val="single" w:color="auto" w:sz="4" w:space="0"/>
              <w:right w:val="single" w:color="auto" w:sz="4" w:space="0"/>
            </w:tcBorders>
            <w:vAlign w:val="center"/>
          </w:tcPr>
          <w:p w14:paraId="098580D2">
            <w:pPr>
              <w:spacing w:line="240" w:lineRule="atLeast"/>
              <w:jc w:val="center"/>
              <w:rPr>
                <w:rFonts w:ascii="Times New Roman" w:hAnsi="Times New Roman" w:cs="Times New Roman"/>
                <w:color w:val="000000"/>
                <w:sz w:val="12"/>
                <w:szCs w:val="12"/>
              </w:rPr>
            </w:pPr>
          </w:p>
        </w:tc>
        <w:tc>
          <w:tcPr>
            <w:tcW w:w="267" w:type="pct"/>
            <w:tcBorders>
              <w:top w:val="single" w:color="auto" w:sz="4" w:space="0"/>
              <w:left w:val="single" w:color="auto" w:sz="4" w:space="0"/>
              <w:bottom w:val="single" w:color="auto" w:sz="4" w:space="0"/>
              <w:right w:val="single" w:color="auto" w:sz="4" w:space="0"/>
            </w:tcBorders>
            <w:vAlign w:val="center"/>
          </w:tcPr>
          <w:p w14:paraId="12B8DE39">
            <w:pPr>
              <w:spacing w:line="240" w:lineRule="atLeast"/>
              <w:jc w:val="center"/>
              <w:rPr>
                <w:rFonts w:ascii="Times New Roman" w:hAnsi="Times New Roman" w:cs="Times New Roman"/>
                <w:color w:val="000000"/>
                <w:sz w:val="12"/>
                <w:szCs w:val="12"/>
              </w:rPr>
            </w:pPr>
          </w:p>
        </w:tc>
        <w:tc>
          <w:tcPr>
            <w:tcW w:w="293" w:type="pct"/>
            <w:tcBorders>
              <w:top w:val="single" w:color="auto" w:sz="4" w:space="0"/>
              <w:left w:val="single" w:color="auto" w:sz="4" w:space="0"/>
              <w:bottom w:val="single" w:color="auto" w:sz="4" w:space="0"/>
              <w:right w:val="single" w:color="auto" w:sz="4" w:space="0"/>
            </w:tcBorders>
            <w:vAlign w:val="center"/>
          </w:tcPr>
          <w:p w14:paraId="217017BF">
            <w:pPr>
              <w:spacing w:line="240" w:lineRule="atLeast"/>
              <w:jc w:val="center"/>
              <w:rPr>
                <w:rFonts w:ascii="Times New Roman" w:hAnsi="Times New Roman" w:cs="Times New Roman"/>
                <w:color w:val="000000"/>
                <w:sz w:val="12"/>
                <w:szCs w:val="12"/>
              </w:rPr>
            </w:pPr>
          </w:p>
        </w:tc>
        <w:tc>
          <w:tcPr>
            <w:tcW w:w="241" w:type="pct"/>
            <w:tcBorders>
              <w:top w:val="single" w:color="auto" w:sz="4" w:space="0"/>
              <w:left w:val="single" w:color="auto" w:sz="4" w:space="0"/>
              <w:bottom w:val="single" w:color="auto" w:sz="4" w:space="0"/>
              <w:right w:val="single" w:color="auto" w:sz="4" w:space="0"/>
            </w:tcBorders>
            <w:vAlign w:val="center"/>
          </w:tcPr>
          <w:p w14:paraId="089BCCC5">
            <w:pPr>
              <w:spacing w:line="240" w:lineRule="atLeast"/>
              <w:jc w:val="center"/>
              <w:rPr>
                <w:rFonts w:ascii="Times New Roman" w:hAnsi="Times New Roman" w:cs="Times New Roman"/>
                <w:color w:val="000000"/>
                <w:sz w:val="12"/>
                <w:szCs w:val="12"/>
              </w:rPr>
            </w:pPr>
          </w:p>
        </w:tc>
        <w:tc>
          <w:tcPr>
            <w:tcW w:w="175" w:type="pct"/>
            <w:tcBorders>
              <w:top w:val="single" w:color="auto" w:sz="4" w:space="0"/>
              <w:left w:val="single" w:color="auto" w:sz="4" w:space="0"/>
              <w:bottom w:val="single" w:color="auto" w:sz="4" w:space="0"/>
              <w:right w:val="single" w:color="auto" w:sz="4" w:space="0"/>
            </w:tcBorders>
            <w:vAlign w:val="center"/>
          </w:tcPr>
          <w:p w14:paraId="6AF471B8">
            <w:pPr>
              <w:spacing w:line="240" w:lineRule="atLeast"/>
              <w:jc w:val="center"/>
              <w:rPr>
                <w:rFonts w:ascii="Times New Roman" w:hAnsi="Times New Roman" w:cs="Times New Roman"/>
                <w:color w:val="000000"/>
                <w:sz w:val="12"/>
                <w:szCs w:val="12"/>
              </w:rPr>
            </w:pPr>
          </w:p>
        </w:tc>
        <w:tc>
          <w:tcPr>
            <w:tcW w:w="175" w:type="pct"/>
            <w:tcBorders>
              <w:top w:val="single" w:color="auto" w:sz="4" w:space="0"/>
              <w:left w:val="single" w:color="auto" w:sz="4" w:space="0"/>
              <w:bottom w:val="single" w:color="auto" w:sz="4" w:space="0"/>
              <w:right w:val="single" w:color="auto" w:sz="4" w:space="0"/>
            </w:tcBorders>
            <w:vAlign w:val="center"/>
          </w:tcPr>
          <w:p w14:paraId="1EA34C95">
            <w:pPr>
              <w:spacing w:line="240" w:lineRule="atLeast"/>
              <w:jc w:val="center"/>
              <w:rPr>
                <w:rFonts w:ascii="Times New Roman" w:hAnsi="Times New Roman" w:cs="Times New Roman"/>
                <w:color w:val="000000"/>
                <w:sz w:val="12"/>
                <w:szCs w:val="12"/>
              </w:rPr>
            </w:pPr>
          </w:p>
        </w:tc>
        <w:tc>
          <w:tcPr>
            <w:tcW w:w="179" w:type="pct"/>
            <w:tcBorders>
              <w:top w:val="single" w:color="auto" w:sz="4" w:space="0"/>
              <w:left w:val="single" w:color="auto" w:sz="4" w:space="0"/>
              <w:bottom w:val="single" w:color="auto" w:sz="4" w:space="0"/>
              <w:right w:val="single" w:color="auto" w:sz="4" w:space="0"/>
            </w:tcBorders>
            <w:vAlign w:val="center"/>
          </w:tcPr>
          <w:p w14:paraId="0832988A">
            <w:pPr>
              <w:spacing w:line="240" w:lineRule="atLeast"/>
              <w:jc w:val="center"/>
              <w:rPr>
                <w:rFonts w:ascii="Times New Roman" w:hAnsi="Times New Roman" w:cs="Times New Roman"/>
                <w:color w:val="000000"/>
                <w:sz w:val="12"/>
                <w:szCs w:val="12"/>
              </w:rPr>
            </w:pPr>
          </w:p>
        </w:tc>
        <w:tc>
          <w:tcPr>
            <w:tcW w:w="267" w:type="pct"/>
            <w:tcBorders>
              <w:top w:val="single" w:color="auto" w:sz="4" w:space="0"/>
              <w:left w:val="single" w:color="auto" w:sz="4" w:space="0"/>
              <w:bottom w:val="single" w:color="auto" w:sz="4" w:space="0"/>
              <w:right w:val="single" w:color="auto" w:sz="4" w:space="0"/>
            </w:tcBorders>
            <w:vAlign w:val="center"/>
          </w:tcPr>
          <w:p w14:paraId="04C8A2F6">
            <w:pPr>
              <w:spacing w:line="240" w:lineRule="atLeast"/>
              <w:jc w:val="center"/>
              <w:rPr>
                <w:rFonts w:ascii="Times New Roman" w:hAnsi="Times New Roman" w:cs="Times New Roman"/>
                <w:color w:val="000000"/>
                <w:sz w:val="12"/>
                <w:szCs w:val="12"/>
              </w:rPr>
            </w:pPr>
          </w:p>
        </w:tc>
        <w:tc>
          <w:tcPr>
            <w:tcW w:w="266" w:type="pct"/>
            <w:tcBorders>
              <w:top w:val="single" w:color="auto" w:sz="4" w:space="0"/>
              <w:left w:val="single" w:color="auto" w:sz="4" w:space="0"/>
              <w:bottom w:val="single" w:color="auto" w:sz="4" w:space="0"/>
              <w:right w:val="single" w:color="auto" w:sz="4" w:space="0"/>
            </w:tcBorders>
            <w:noWrap/>
            <w:vAlign w:val="center"/>
          </w:tcPr>
          <w:p w14:paraId="39A21F89">
            <w:pPr>
              <w:spacing w:line="240" w:lineRule="atLeast"/>
              <w:jc w:val="center"/>
              <w:rPr>
                <w:rFonts w:ascii="Times New Roman" w:hAnsi="Times New Roman" w:cs="Times New Roman"/>
                <w:color w:val="000000"/>
                <w:sz w:val="12"/>
                <w:szCs w:val="12"/>
              </w:rPr>
            </w:pPr>
          </w:p>
        </w:tc>
        <w:tc>
          <w:tcPr>
            <w:tcW w:w="329" w:type="pct"/>
            <w:tcBorders>
              <w:top w:val="single" w:color="auto" w:sz="4" w:space="0"/>
              <w:left w:val="single" w:color="auto" w:sz="4" w:space="0"/>
              <w:bottom w:val="single" w:color="auto" w:sz="4" w:space="0"/>
              <w:right w:val="single" w:color="auto" w:sz="4" w:space="0"/>
            </w:tcBorders>
            <w:noWrap/>
            <w:vAlign w:val="center"/>
          </w:tcPr>
          <w:p w14:paraId="549CC578">
            <w:pPr>
              <w:spacing w:line="240" w:lineRule="atLeast"/>
              <w:jc w:val="center"/>
              <w:rPr>
                <w:rFonts w:ascii="Times New Roman" w:hAnsi="Times New Roman" w:cs="Times New Roman"/>
                <w:color w:val="000000"/>
                <w:sz w:val="12"/>
                <w:szCs w:val="12"/>
              </w:rPr>
            </w:pPr>
          </w:p>
        </w:tc>
        <w:tc>
          <w:tcPr>
            <w:tcW w:w="202" w:type="pct"/>
            <w:tcBorders>
              <w:top w:val="single" w:color="auto" w:sz="4" w:space="0"/>
              <w:left w:val="single" w:color="auto" w:sz="4" w:space="0"/>
              <w:bottom w:val="single" w:color="auto" w:sz="4" w:space="0"/>
              <w:right w:val="single" w:color="auto" w:sz="4" w:space="0"/>
            </w:tcBorders>
            <w:noWrap/>
            <w:vAlign w:val="center"/>
          </w:tcPr>
          <w:p w14:paraId="41CD59BB">
            <w:pPr>
              <w:spacing w:line="240" w:lineRule="atLeast"/>
              <w:jc w:val="center"/>
              <w:rPr>
                <w:rFonts w:ascii="Times New Roman" w:hAnsi="Times New Roman" w:cs="Times New Roman"/>
                <w:color w:val="000000"/>
                <w:sz w:val="12"/>
                <w:szCs w:val="12"/>
              </w:rPr>
            </w:pPr>
          </w:p>
        </w:tc>
        <w:tc>
          <w:tcPr>
            <w:tcW w:w="204" w:type="pct"/>
            <w:tcBorders>
              <w:top w:val="single" w:color="auto" w:sz="4" w:space="0"/>
              <w:left w:val="single" w:color="auto" w:sz="4" w:space="0"/>
              <w:bottom w:val="single" w:color="auto" w:sz="4" w:space="0"/>
              <w:right w:val="single" w:color="auto" w:sz="4" w:space="0"/>
            </w:tcBorders>
            <w:noWrap/>
            <w:vAlign w:val="center"/>
          </w:tcPr>
          <w:p w14:paraId="403BD6B6">
            <w:pPr>
              <w:spacing w:line="240" w:lineRule="atLeast"/>
              <w:jc w:val="center"/>
              <w:rPr>
                <w:rFonts w:ascii="Times New Roman" w:hAnsi="Times New Roman" w:cs="Times New Roman"/>
                <w:color w:val="000000"/>
                <w:sz w:val="12"/>
                <w:szCs w:val="12"/>
              </w:rPr>
            </w:pPr>
          </w:p>
        </w:tc>
        <w:tc>
          <w:tcPr>
            <w:tcW w:w="178" w:type="pct"/>
            <w:tcBorders>
              <w:top w:val="single" w:color="auto" w:sz="4" w:space="0"/>
              <w:left w:val="single" w:color="auto" w:sz="4" w:space="0"/>
              <w:bottom w:val="single" w:color="auto" w:sz="4" w:space="0"/>
              <w:right w:val="single" w:color="auto" w:sz="4" w:space="0"/>
            </w:tcBorders>
            <w:noWrap/>
            <w:vAlign w:val="center"/>
          </w:tcPr>
          <w:p w14:paraId="294B298C">
            <w:pPr>
              <w:spacing w:line="240" w:lineRule="atLeast"/>
              <w:jc w:val="center"/>
              <w:rPr>
                <w:rFonts w:ascii="Times New Roman" w:hAnsi="Times New Roman" w:cs="Times New Roman"/>
                <w:color w:val="000000"/>
                <w:sz w:val="12"/>
                <w:szCs w:val="12"/>
              </w:rPr>
            </w:pPr>
          </w:p>
        </w:tc>
        <w:tc>
          <w:tcPr>
            <w:tcW w:w="204" w:type="pct"/>
            <w:tcBorders>
              <w:top w:val="single" w:color="auto" w:sz="4" w:space="0"/>
              <w:left w:val="single" w:color="auto" w:sz="4" w:space="0"/>
              <w:bottom w:val="single" w:color="auto" w:sz="4" w:space="0"/>
              <w:right w:val="single" w:color="auto" w:sz="4" w:space="0"/>
            </w:tcBorders>
            <w:noWrap/>
            <w:vAlign w:val="center"/>
          </w:tcPr>
          <w:p w14:paraId="28B55EE6">
            <w:pPr>
              <w:spacing w:line="240" w:lineRule="atLeast"/>
              <w:jc w:val="center"/>
              <w:rPr>
                <w:rFonts w:ascii="Times New Roman" w:hAnsi="Times New Roman" w:cs="Times New Roman"/>
                <w:color w:val="000000"/>
                <w:sz w:val="12"/>
                <w:szCs w:val="12"/>
              </w:rPr>
            </w:pPr>
          </w:p>
        </w:tc>
        <w:tc>
          <w:tcPr>
            <w:tcW w:w="223" w:type="pct"/>
            <w:tcBorders>
              <w:top w:val="single" w:color="auto" w:sz="4" w:space="0"/>
              <w:left w:val="single" w:color="auto" w:sz="4" w:space="0"/>
              <w:bottom w:val="single" w:color="auto" w:sz="4" w:space="0"/>
              <w:right w:val="single" w:color="auto" w:sz="4" w:space="0"/>
            </w:tcBorders>
            <w:noWrap/>
            <w:vAlign w:val="center"/>
          </w:tcPr>
          <w:p w14:paraId="1F9E2978">
            <w:pPr>
              <w:spacing w:line="240" w:lineRule="atLeast"/>
              <w:jc w:val="center"/>
              <w:rPr>
                <w:rFonts w:ascii="Times New Roman" w:hAnsi="Times New Roman" w:cs="Times New Roman"/>
                <w:color w:val="000000"/>
                <w:sz w:val="12"/>
                <w:szCs w:val="12"/>
              </w:rPr>
            </w:pPr>
          </w:p>
        </w:tc>
        <w:tc>
          <w:tcPr>
            <w:tcW w:w="292" w:type="pct"/>
            <w:tcBorders>
              <w:top w:val="single" w:color="auto" w:sz="4" w:space="0"/>
              <w:left w:val="single" w:color="auto" w:sz="4" w:space="0"/>
              <w:bottom w:val="single" w:color="auto" w:sz="4" w:space="0"/>
              <w:right w:val="single" w:color="auto" w:sz="4" w:space="0"/>
            </w:tcBorders>
            <w:noWrap/>
            <w:vAlign w:val="center"/>
          </w:tcPr>
          <w:p w14:paraId="2825B495">
            <w:pPr>
              <w:spacing w:line="240" w:lineRule="atLeast"/>
              <w:jc w:val="center"/>
              <w:rPr>
                <w:rFonts w:ascii="Times New Roman" w:hAnsi="Times New Roman" w:cs="Times New Roman"/>
                <w:color w:val="000000"/>
                <w:sz w:val="12"/>
                <w:szCs w:val="12"/>
              </w:rPr>
            </w:pPr>
          </w:p>
        </w:tc>
        <w:tc>
          <w:tcPr>
            <w:tcW w:w="204" w:type="pct"/>
            <w:tcBorders>
              <w:top w:val="single" w:color="auto" w:sz="4" w:space="0"/>
              <w:left w:val="single" w:color="auto" w:sz="4" w:space="0"/>
              <w:bottom w:val="single" w:color="auto" w:sz="4" w:space="0"/>
              <w:right w:val="single" w:color="auto" w:sz="4" w:space="0"/>
            </w:tcBorders>
            <w:noWrap/>
            <w:vAlign w:val="center"/>
          </w:tcPr>
          <w:p w14:paraId="18F80993">
            <w:pPr>
              <w:spacing w:line="240" w:lineRule="atLeast"/>
              <w:jc w:val="center"/>
              <w:rPr>
                <w:rFonts w:ascii="Times New Roman" w:hAnsi="Times New Roman" w:cs="Times New Roman"/>
                <w:color w:val="000000"/>
                <w:sz w:val="12"/>
                <w:szCs w:val="12"/>
              </w:rPr>
            </w:pPr>
          </w:p>
        </w:tc>
        <w:tc>
          <w:tcPr>
            <w:tcW w:w="239" w:type="pct"/>
            <w:tcBorders>
              <w:top w:val="single" w:color="auto" w:sz="4" w:space="0"/>
              <w:left w:val="single" w:color="auto" w:sz="4" w:space="0"/>
              <w:bottom w:val="single" w:color="auto" w:sz="4" w:space="0"/>
              <w:right w:val="single" w:color="auto" w:sz="4" w:space="0"/>
            </w:tcBorders>
            <w:vAlign w:val="center"/>
          </w:tcPr>
          <w:p w14:paraId="36529D7D">
            <w:pPr>
              <w:spacing w:line="240" w:lineRule="atLeast"/>
              <w:jc w:val="center"/>
              <w:rPr>
                <w:rFonts w:ascii="Times New Roman" w:hAnsi="Times New Roman" w:cs="Times New Roman"/>
                <w:color w:val="000000"/>
                <w:sz w:val="12"/>
                <w:szCs w:val="12"/>
              </w:rPr>
            </w:pPr>
          </w:p>
        </w:tc>
        <w:tc>
          <w:tcPr>
            <w:tcW w:w="351" w:type="pct"/>
            <w:tcBorders>
              <w:top w:val="single" w:color="auto" w:sz="4" w:space="0"/>
              <w:left w:val="single" w:color="auto" w:sz="4" w:space="0"/>
              <w:bottom w:val="single" w:color="auto" w:sz="4" w:space="0"/>
              <w:right w:val="single" w:color="auto" w:sz="4" w:space="0"/>
            </w:tcBorders>
            <w:vAlign w:val="center"/>
          </w:tcPr>
          <w:p w14:paraId="03CC38A1">
            <w:pPr>
              <w:spacing w:line="240" w:lineRule="atLeast"/>
              <w:jc w:val="center"/>
              <w:rPr>
                <w:rFonts w:ascii="Times New Roman" w:hAnsi="Times New Roman" w:cs="Times New Roman"/>
                <w:color w:val="000000"/>
                <w:sz w:val="12"/>
                <w:szCs w:val="12"/>
              </w:rPr>
            </w:pPr>
          </w:p>
        </w:tc>
        <w:tc>
          <w:tcPr>
            <w:tcW w:w="254" w:type="pct"/>
            <w:tcBorders>
              <w:top w:val="single" w:color="auto" w:sz="4" w:space="0"/>
              <w:left w:val="single" w:color="auto" w:sz="4" w:space="0"/>
              <w:bottom w:val="single" w:color="auto" w:sz="4" w:space="0"/>
              <w:right w:val="single" w:color="auto" w:sz="4" w:space="0"/>
            </w:tcBorders>
          </w:tcPr>
          <w:p w14:paraId="3AE19091">
            <w:pPr>
              <w:spacing w:line="240" w:lineRule="atLeast"/>
              <w:jc w:val="center"/>
              <w:rPr>
                <w:rFonts w:ascii="Times New Roman" w:hAnsi="Times New Roman" w:cs="Times New Roman"/>
                <w:color w:val="000000"/>
                <w:sz w:val="12"/>
                <w:szCs w:val="12"/>
              </w:rPr>
            </w:pPr>
          </w:p>
        </w:tc>
        <w:tc>
          <w:tcPr>
            <w:tcW w:w="335" w:type="pct"/>
            <w:tcBorders>
              <w:top w:val="single" w:color="auto" w:sz="4" w:space="0"/>
              <w:left w:val="single" w:color="auto" w:sz="4" w:space="0"/>
              <w:bottom w:val="single" w:color="auto" w:sz="4" w:space="0"/>
              <w:right w:val="single" w:color="auto" w:sz="4" w:space="0"/>
            </w:tcBorders>
            <w:vAlign w:val="center"/>
          </w:tcPr>
          <w:p w14:paraId="18449D5C">
            <w:pPr>
              <w:spacing w:line="240" w:lineRule="atLeast"/>
              <w:jc w:val="center"/>
              <w:rPr>
                <w:rFonts w:ascii="Times New Roman" w:hAnsi="Times New Roman" w:cs="Times New Roman"/>
                <w:color w:val="000000"/>
                <w:sz w:val="12"/>
                <w:szCs w:val="12"/>
              </w:rPr>
            </w:pPr>
          </w:p>
        </w:tc>
      </w:tr>
    </w:tbl>
    <w:p w14:paraId="27E8E631">
      <w:pPr>
        <w:widowControl w:val="0"/>
        <w:autoSpaceDE w:val="0"/>
        <w:autoSpaceDN w:val="0"/>
        <w:adjustRightInd w:val="0"/>
        <w:spacing w:after="0" w:line="240" w:lineRule="atLeast"/>
        <w:ind w:firstLine="539"/>
        <w:jc w:val="both"/>
      </w:pPr>
    </w:p>
    <w:p w14:paraId="50065714">
      <w:pPr>
        <w:widowControl w:val="0"/>
        <w:autoSpaceDE w:val="0"/>
        <w:autoSpaceDN w:val="0"/>
        <w:adjustRightInd w:val="0"/>
        <w:spacing w:after="0" w:line="240" w:lineRule="atLeast"/>
        <w:ind w:firstLine="539"/>
        <w:jc w:val="both"/>
        <w:rPr>
          <w:rFonts w:ascii="Times New Roman" w:hAnsi="Times New Roman" w:cs="Times New Roman"/>
        </w:rPr>
      </w:pPr>
      <w:r>
        <w:rPr>
          <w:rFonts w:ascii="Times New Roman" w:hAnsi="Times New Roman" w:cs="Times New Roman"/>
        </w:rPr>
        <w:t>Директор ______________________</w:t>
      </w:r>
    </w:p>
    <w:p w14:paraId="1FE3F625">
      <w:pPr>
        <w:widowControl w:val="0"/>
        <w:autoSpaceDE w:val="0"/>
        <w:autoSpaceDN w:val="0"/>
        <w:adjustRightInd w:val="0"/>
        <w:spacing w:after="0" w:line="240" w:lineRule="atLeast"/>
        <w:ind w:firstLine="539"/>
        <w:jc w:val="both"/>
        <w:rPr>
          <w:rFonts w:ascii="Times New Roman" w:hAnsi="Times New Roman" w:cs="Times New Roman"/>
          <w:sz w:val="20"/>
          <w:szCs w:val="20"/>
        </w:rPr>
      </w:pPr>
      <w:r>
        <w:rPr>
          <w:rFonts w:ascii="Times New Roman" w:hAnsi="Times New Roman" w:cs="Times New Roman"/>
        </w:rPr>
        <w:t xml:space="preserve">                    </w:t>
      </w:r>
      <w:r>
        <w:rPr>
          <w:rFonts w:ascii="Times New Roman" w:hAnsi="Times New Roman" w:cs="Times New Roman"/>
          <w:sz w:val="20"/>
          <w:szCs w:val="20"/>
        </w:rPr>
        <w:t xml:space="preserve">(подпись)       (Ф.И.О.)       </w:t>
      </w:r>
    </w:p>
    <w:p w14:paraId="032A6181">
      <w:pPr>
        <w:widowControl w:val="0"/>
        <w:autoSpaceDE w:val="0"/>
        <w:autoSpaceDN w:val="0"/>
        <w:adjustRightInd w:val="0"/>
        <w:spacing w:after="0" w:line="240" w:lineRule="atLeast"/>
        <w:ind w:firstLine="540"/>
        <w:jc w:val="both"/>
        <w:rPr>
          <w:rFonts w:ascii="Times New Roman" w:hAnsi="Times New Roman" w:cs="Times New Roman"/>
        </w:rPr>
      </w:pPr>
      <w:r>
        <w:rPr>
          <w:rFonts w:ascii="Times New Roman" w:hAnsi="Times New Roman" w:cs="Times New Roman"/>
        </w:rPr>
        <w:t>Бухгалтер ______________________</w:t>
      </w:r>
    </w:p>
    <w:p w14:paraId="05AE4E34">
      <w:pPr>
        <w:widowControl w:val="0"/>
        <w:autoSpaceDE w:val="0"/>
        <w:autoSpaceDN w:val="0"/>
        <w:adjustRightInd w:val="0"/>
        <w:spacing w:after="0" w:line="240" w:lineRule="atLeast"/>
        <w:outlineLvl w:val="2"/>
        <w:rPr>
          <w:rFonts w:ascii="Times New Roman" w:hAnsi="Times New Roman" w:cs="Times New Roman"/>
        </w:rPr>
      </w:pPr>
      <w:bookmarkStart w:id="2" w:name="Par1688"/>
      <w:bookmarkEnd w:id="2"/>
      <w:r>
        <w:rPr>
          <w:rFonts w:ascii="Times New Roman" w:hAnsi="Times New Roman" w:cs="Times New Roman"/>
          <w:sz w:val="20"/>
          <w:szCs w:val="20"/>
        </w:rPr>
        <w:t xml:space="preserve">                                  (подпись)        (Ф.И.О.)</w:t>
      </w:r>
      <w:r>
        <w:rPr>
          <w:rFonts w:ascii="Times New Roman" w:hAnsi="Times New Roman" w:cs="Times New Roman"/>
        </w:rPr>
        <w:t xml:space="preserve">       </w:t>
      </w:r>
    </w:p>
    <w:sectPr>
      <w:pgSz w:w="16838" w:h="11906" w:orient="landscape"/>
      <w:pgMar w:top="720" w:right="720" w:bottom="720" w:left="720"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 w:name="Arial">
    <w:panose1 w:val="020B0604020202020204"/>
    <w:charset w:val="CC"/>
    <w:family w:val="swiss"/>
    <w:pitch w:val="default"/>
    <w:sig w:usb0="E0002EFF" w:usb1="C000785B" w:usb2="00000009" w:usb3="00000000" w:csb0="400001FF" w:csb1="FFFF0000"/>
  </w:font>
  <w:font w:name="Courier New">
    <w:panose1 w:val="02070309020205020404"/>
    <w:charset w:val="CC"/>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4451BA"/>
    <w:multiLevelType w:val="multilevel"/>
    <w:tmpl w:val="0F4451BA"/>
    <w:lvl w:ilvl="0" w:tentative="0">
      <w:start w:val="1"/>
      <w:numFmt w:val="decimal"/>
      <w:lvlText w:val="%1."/>
      <w:lvlJc w:val="left"/>
      <w:pPr>
        <w:ind w:left="1713" w:hanging="1005"/>
      </w:pPr>
      <w:rPr>
        <w:rFonts w:hint="default"/>
      </w:rPr>
    </w:lvl>
    <w:lvl w:ilvl="1" w:tentative="0">
      <w:start w:val="1"/>
      <w:numFmt w:val="decimal"/>
      <w:isLgl/>
      <w:lvlText w:val="%1.%2."/>
      <w:lvlJc w:val="left"/>
      <w:pPr>
        <w:ind w:left="1429" w:hanging="720"/>
      </w:pPr>
      <w:rPr>
        <w:rFonts w:hint="default"/>
      </w:rPr>
    </w:lvl>
    <w:lvl w:ilvl="2" w:tentative="0">
      <w:start w:val="1"/>
      <w:numFmt w:val="decimal"/>
      <w:isLgl/>
      <w:lvlText w:val="%1.%2.%3."/>
      <w:lvlJc w:val="left"/>
      <w:pPr>
        <w:ind w:left="1430" w:hanging="720"/>
      </w:pPr>
      <w:rPr>
        <w:rFonts w:hint="default"/>
      </w:rPr>
    </w:lvl>
    <w:lvl w:ilvl="3" w:tentative="0">
      <w:start w:val="1"/>
      <w:numFmt w:val="decimal"/>
      <w:isLgl/>
      <w:lvlText w:val="%1.%2.%3.%4."/>
      <w:lvlJc w:val="left"/>
      <w:pPr>
        <w:ind w:left="1791" w:hanging="1080"/>
      </w:pPr>
      <w:rPr>
        <w:rFonts w:hint="default"/>
      </w:rPr>
    </w:lvl>
    <w:lvl w:ilvl="4" w:tentative="0">
      <w:start w:val="1"/>
      <w:numFmt w:val="decimal"/>
      <w:isLgl/>
      <w:lvlText w:val="%1.%2.%3.%4.%5."/>
      <w:lvlJc w:val="left"/>
      <w:pPr>
        <w:ind w:left="1792" w:hanging="1080"/>
      </w:pPr>
      <w:rPr>
        <w:rFonts w:hint="default"/>
      </w:rPr>
    </w:lvl>
    <w:lvl w:ilvl="5" w:tentative="0">
      <w:start w:val="1"/>
      <w:numFmt w:val="decimal"/>
      <w:isLgl/>
      <w:lvlText w:val="%1.%2.%3.%4.%5.%6."/>
      <w:lvlJc w:val="left"/>
      <w:pPr>
        <w:ind w:left="2153" w:hanging="1440"/>
      </w:pPr>
      <w:rPr>
        <w:rFonts w:hint="default"/>
      </w:rPr>
    </w:lvl>
    <w:lvl w:ilvl="6" w:tentative="0">
      <w:start w:val="1"/>
      <w:numFmt w:val="decimal"/>
      <w:isLgl/>
      <w:lvlText w:val="%1.%2.%3.%4.%5.%6.%7."/>
      <w:lvlJc w:val="left"/>
      <w:pPr>
        <w:ind w:left="2514" w:hanging="1800"/>
      </w:pPr>
      <w:rPr>
        <w:rFonts w:hint="default"/>
      </w:rPr>
    </w:lvl>
    <w:lvl w:ilvl="7" w:tentative="0">
      <w:start w:val="1"/>
      <w:numFmt w:val="decimal"/>
      <w:isLgl/>
      <w:lvlText w:val="%1.%2.%3.%4.%5.%6.%7.%8."/>
      <w:lvlJc w:val="left"/>
      <w:pPr>
        <w:ind w:left="2515" w:hanging="1800"/>
      </w:pPr>
      <w:rPr>
        <w:rFonts w:hint="default"/>
      </w:rPr>
    </w:lvl>
    <w:lvl w:ilvl="8" w:tentative="0">
      <w:start w:val="1"/>
      <w:numFmt w:val="decimal"/>
      <w:isLgl/>
      <w:lvlText w:val="%1.%2.%3.%4.%5.%6.%7.%8.%9."/>
      <w:lvlJc w:val="left"/>
      <w:pPr>
        <w:ind w:left="2876"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5A7E7F"/>
    <w:rsid w:val="001216DC"/>
    <w:rsid w:val="0015189F"/>
    <w:rsid w:val="00194FEC"/>
    <w:rsid w:val="001E001C"/>
    <w:rsid w:val="001F5546"/>
    <w:rsid w:val="004E55B6"/>
    <w:rsid w:val="005A7E7F"/>
    <w:rsid w:val="00602CB7"/>
    <w:rsid w:val="00662239"/>
    <w:rsid w:val="00673385"/>
    <w:rsid w:val="006B76FB"/>
    <w:rsid w:val="008F6A43"/>
    <w:rsid w:val="00970E12"/>
    <w:rsid w:val="00A678A8"/>
    <w:rsid w:val="00A72BDE"/>
    <w:rsid w:val="00AC24B0"/>
    <w:rsid w:val="00BA2E0C"/>
    <w:rsid w:val="00C71D93"/>
    <w:rsid w:val="00E24790"/>
    <w:rsid w:val="00F13A7E"/>
    <w:rsid w:val="00FC2ADD"/>
    <w:rsid w:val="34001A4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2"/>
    <w:semiHidden/>
    <w:unhideWhenUsed/>
    <w:qFormat/>
    <w:uiPriority w:val="99"/>
    <w:pPr>
      <w:spacing w:after="0" w:line="240" w:lineRule="auto"/>
    </w:pPr>
    <w:rPr>
      <w:rFonts w:ascii="Tahoma" w:hAnsi="Tahoma" w:cs="Tahoma"/>
      <w:sz w:val="16"/>
      <w:szCs w:val="16"/>
    </w:rPr>
  </w:style>
  <w:style w:type="paragraph" w:styleId="5">
    <w:name w:val="Normal (Web)"/>
    <w:basedOn w:val="1"/>
    <w:qFormat/>
    <w:uiPriority w:val="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overflowPunct w:val="0"/>
      <w:autoSpaceDE w:val="0"/>
      <w:spacing w:after="0" w:line="240" w:lineRule="auto"/>
      <w:ind w:right="44" w:firstLine="360"/>
      <w:jc w:val="both"/>
    </w:pPr>
    <w:rPr>
      <w:rFonts w:ascii="Arial Unicode MS" w:hAnsi="Arial Unicode MS" w:eastAsia="Times New Roman" w:cs="Arial"/>
      <w:sz w:val="16"/>
      <w:szCs w:val="16"/>
      <w:lang w:eastAsia="zh-CN"/>
    </w:rPr>
  </w:style>
  <w:style w:type="paragraph" w:styleId="6">
    <w:name w:val="Body Text 3"/>
    <w:basedOn w:val="1"/>
    <w:link w:val="10"/>
    <w:semiHidden/>
    <w:unhideWhenUsed/>
    <w:qFormat/>
    <w:uiPriority w:val="99"/>
    <w:pPr>
      <w:spacing w:after="120" w:line="240" w:lineRule="auto"/>
    </w:pPr>
    <w:rPr>
      <w:rFonts w:ascii="Times New Roman" w:hAnsi="Times New Roman" w:eastAsia="Times New Roman" w:cs="Times New Roman"/>
      <w:sz w:val="16"/>
      <w:szCs w:val="16"/>
    </w:rPr>
  </w:style>
  <w:style w:type="paragraph" w:customStyle="1" w:styleId="7">
    <w:name w:val="ConsPlusNormal"/>
    <w:qFormat/>
    <w:uiPriority w:val="0"/>
    <w:pPr>
      <w:widowControl w:val="0"/>
      <w:autoSpaceDE w:val="0"/>
      <w:autoSpaceDN w:val="0"/>
      <w:adjustRightInd w:val="0"/>
      <w:spacing w:after="0" w:line="240" w:lineRule="auto"/>
    </w:pPr>
    <w:rPr>
      <w:rFonts w:ascii="Calibri" w:hAnsi="Calibri" w:cs="Calibri" w:eastAsiaTheme="minorEastAsia"/>
      <w:sz w:val="22"/>
      <w:szCs w:val="22"/>
      <w:lang w:val="ru-RU" w:eastAsia="ru-RU" w:bidi="ar-SA"/>
    </w:rPr>
  </w:style>
  <w:style w:type="paragraph" w:customStyle="1" w:styleId="8">
    <w:name w:val="ConsPlusTitle"/>
    <w:qFormat/>
    <w:uiPriority w:val="99"/>
    <w:pPr>
      <w:widowControl w:val="0"/>
      <w:autoSpaceDE w:val="0"/>
      <w:autoSpaceDN w:val="0"/>
      <w:adjustRightInd w:val="0"/>
      <w:spacing w:after="0" w:line="240" w:lineRule="auto"/>
    </w:pPr>
    <w:rPr>
      <w:rFonts w:ascii="Calibri" w:hAnsi="Calibri" w:cs="Calibri" w:eastAsiaTheme="minorEastAsia"/>
      <w:b/>
      <w:bCs/>
      <w:sz w:val="22"/>
      <w:szCs w:val="22"/>
      <w:lang w:val="ru-RU" w:eastAsia="ru-RU" w:bidi="ar-SA"/>
    </w:rPr>
  </w:style>
  <w:style w:type="paragraph" w:styleId="9">
    <w:name w:val="List Paragraph"/>
    <w:basedOn w:val="1"/>
    <w:qFormat/>
    <w:uiPriority w:val="34"/>
    <w:pPr>
      <w:ind w:left="720"/>
      <w:contextualSpacing/>
    </w:pPr>
    <w:rPr>
      <w:rFonts w:eastAsiaTheme="minorHAnsi"/>
      <w:lang w:eastAsia="en-US"/>
    </w:rPr>
  </w:style>
  <w:style w:type="character" w:customStyle="1" w:styleId="10">
    <w:name w:val="Основной текст 3 Знак"/>
    <w:basedOn w:val="2"/>
    <w:link w:val="6"/>
    <w:semiHidden/>
    <w:qFormat/>
    <w:uiPriority w:val="99"/>
    <w:rPr>
      <w:rFonts w:ascii="Times New Roman" w:hAnsi="Times New Roman" w:eastAsia="Times New Roman" w:cs="Times New Roman"/>
      <w:sz w:val="16"/>
      <w:szCs w:val="16"/>
    </w:rPr>
  </w:style>
  <w:style w:type="character" w:customStyle="1" w:styleId="11">
    <w:name w:val="WW8Num2z0"/>
    <w:qFormat/>
    <w:uiPriority w:val="0"/>
    <w:rPr>
      <w:rFonts w:ascii="Courier New" w:hAnsi="Courier New" w:cs="Courier New"/>
    </w:rPr>
  </w:style>
  <w:style w:type="character" w:customStyle="1" w:styleId="12">
    <w:name w:val="Текст выноски Знак"/>
    <w:basedOn w:val="2"/>
    <w:link w:val="4"/>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Reanimator Extreme Edition</Company>
  <Pages>8</Pages>
  <Words>1743</Words>
  <Characters>13792</Characters>
  <Lines>114</Lines>
  <Paragraphs>32</Paragraphs>
  <TotalTime>327</TotalTime>
  <ScaleCrop>false</ScaleCrop>
  <LinksUpToDate>false</LinksUpToDate>
  <CharactersWithSpaces>15635</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2026-08-19T05:42:00Z</dcterms:created>
  <dc:creator>User</dc:creator>
  <cp:lastModifiedBy>User-2</cp:lastModifiedBy>
  <cp:lastPrinted>2026-08-21T05:52:00Z</cp:lastPrinted>
  <dcterms:modified xsi:type="dcterms:W3CDTF">2026-08-25T04:53:35Z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eyJoZGlkIjoiOTdkOTgzOWMyNjFkNGMzMWY1YjdkZGQ1NGU4YjFiMDEifQ==</vt:lpwstr>
  </property>
  <property fmtid="{D5CDD505-2E9C-101B-9397-08002B2CF9AE}" pid="3" name="KSOProductBuildVer">
    <vt:lpwstr>1049-12.1.0.28032</vt:lpwstr>
  </property>
  <property fmtid="{D5CDD505-2E9C-101B-9397-08002B2CF9AE}" pid="4" name="ICV">
    <vt:lpwstr>D092240973E246908D2368A39EFBAD28_12</vt:lpwstr>
  </property>
</Properties>
</file>