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A20CE">
      <w:pPr>
        <w:spacing w:after="0" w:line="240" w:lineRule="auto"/>
        <w:jc w:val="center"/>
        <w:outlineLvl w:val="0"/>
        <w:rPr>
          <w:rFonts w:ascii="Times New Roman" w:hAnsi="Times New Roman" w:eastAsia="Times New Roman" w:cs="Times New Roman"/>
          <w:bCs/>
          <w:color w:val="000000" w:themeColor="text1"/>
          <w:kern w:val="36"/>
          <w:sz w:val="24"/>
          <w:szCs w:val="24"/>
          <w:lang w:eastAsia="ru-RU"/>
          <w14:textFill>
            <w14:solidFill>
              <w14:schemeClr w14:val="tx1"/>
            </w14:solidFill>
          </w14:textFill>
        </w:rPr>
      </w:pPr>
      <w:r>
        <w:rPr>
          <w:rFonts w:ascii="Times New Roman" w:hAnsi="Times New Roman" w:eastAsia="Times New Roman" w:cs="Times New Roman"/>
          <w:bCs/>
          <w:color w:val="000000" w:themeColor="text1"/>
          <w:kern w:val="36"/>
          <w:sz w:val="28"/>
          <w:szCs w:val="28"/>
          <w:lang w:eastAsia="ru-RU"/>
          <w14:textFill>
            <w14:solidFill>
              <w14:schemeClr w14:val="tx1"/>
            </w14:solidFill>
          </w14:textFill>
        </w:rPr>
        <w:t xml:space="preserve">                                                                 </w:t>
      </w:r>
      <w:r>
        <w:rPr>
          <w:rFonts w:ascii="Times New Roman" w:hAnsi="Times New Roman" w:eastAsia="Times New Roman" w:cs="Times New Roman"/>
          <w:bCs/>
          <w:color w:val="000000" w:themeColor="text1"/>
          <w:kern w:val="36"/>
          <w:sz w:val="24"/>
          <w:szCs w:val="24"/>
          <w:lang w:eastAsia="ru-RU"/>
          <w14:textFill>
            <w14:solidFill>
              <w14:schemeClr w14:val="tx1"/>
            </w14:solidFill>
          </w14:textFill>
        </w:rPr>
        <w:t>УТВЕРЖДЕН</w:t>
      </w:r>
    </w:p>
    <w:p w14:paraId="2ED9F2A3">
      <w:pPr>
        <w:spacing w:after="0" w:line="240" w:lineRule="auto"/>
        <w:jc w:val="right"/>
        <w:outlineLvl w:val="0"/>
        <w:rPr>
          <w:rFonts w:ascii="Times New Roman" w:hAnsi="Times New Roman" w:eastAsia="Times New Roman" w:cs="Times New Roman"/>
          <w:bCs/>
          <w:color w:val="000000" w:themeColor="text1"/>
          <w:kern w:val="36"/>
          <w:sz w:val="24"/>
          <w:szCs w:val="24"/>
          <w:lang w:eastAsia="ru-RU"/>
          <w14:textFill>
            <w14:solidFill>
              <w14:schemeClr w14:val="tx1"/>
            </w14:solidFill>
          </w14:textFill>
        </w:rPr>
      </w:pPr>
      <w:r>
        <w:rPr>
          <w:rFonts w:ascii="Times New Roman" w:hAnsi="Times New Roman" w:eastAsia="Times New Roman" w:cs="Times New Roman"/>
          <w:bCs/>
          <w:color w:val="000000" w:themeColor="text1"/>
          <w:kern w:val="36"/>
          <w:sz w:val="24"/>
          <w:szCs w:val="24"/>
          <w:lang w:eastAsia="ru-RU"/>
          <w14:textFill>
            <w14:solidFill>
              <w14:schemeClr w14:val="tx1"/>
            </w14:solidFill>
          </w14:textFill>
        </w:rPr>
        <w:t xml:space="preserve">                                                                   протоколом заседания комиссии</w:t>
      </w:r>
    </w:p>
    <w:p w14:paraId="7E64EB6D">
      <w:pPr>
        <w:spacing w:after="0" w:line="240" w:lineRule="auto"/>
        <w:jc w:val="right"/>
        <w:outlineLvl w:val="0"/>
        <w:rPr>
          <w:rFonts w:ascii="Times New Roman" w:hAnsi="Times New Roman" w:eastAsia="Times New Roman" w:cs="Times New Roman"/>
          <w:bCs/>
          <w:color w:val="000000" w:themeColor="text1"/>
          <w:kern w:val="36"/>
          <w:sz w:val="24"/>
          <w:szCs w:val="24"/>
          <w:lang w:eastAsia="ru-RU"/>
          <w14:textFill>
            <w14:solidFill>
              <w14:schemeClr w14:val="tx1"/>
            </w14:solidFill>
          </w14:textFill>
        </w:rPr>
      </w:pPr>
      <w:r>
        <w:rPr>
          <w:rFonts w:ascii="Times New Roman" w:hAnsi="Times New Roman" w:eastAsia="Times New Roman" w:cs="Times New Roman"/>
          <w:bCs/>
          <w:color w:val="000000" w:themeColor="text1"/>
          <w:kern w:val="36"/>
          <w:sz w:val="24"/>
          <w:szCs w:val="24"/>
          <w:lang w:eastAsia="ru-RU"/>
          <w14:textFill>
            <w14:solidFill>
              <w14:schemeClr w14:val="tx1"/>
            </w14:solidFill>
          </w14:textFill>
        </w:rPr>
        <w:t xml:space="preserve">                          по вопросам    соблюдения требований    </w:t>
      </w:r>
    </w:p>
    <w:p w14:paraId="0FBF5A5C">
      <w:pPr>
        <w:spacing w:after="0" w:line="240" w:lineRule="auto"/>
        <w:jc w:val="right"/>
        <w:outlineLvl w:val="0"/>
        <w:rPr>
          <w:rFonts w:ascii="Times New Roman" w:hAnsi="Times New Roman" w:eastAsia="Times New Roman" w:cs="Times New Roman"/>
          <w:bCs/>
          <w:color w:val="000000" w:themeColor="text1"/>
          <w:kern w:val="36"/>
          <w:sz w:val="24"/>
          <w:szCs w:val="24"/>
          <w:lang w:eastAsia="ru-RU"/>
          <w14:textFill>
            <w14:solidFill>
              <w14:schemeClr w14:val="tx1"/>
            </w14:solidFill>
          </w14:textFill>
        </w:rPr>
      </w:pPr>
      <w:r>
        <w:rPr>
          <w:rFonts w:ascii="Times New Roman" w:hAnsi="Times New Roman" w:eastAsia="Times New Roman" w:cs="Times New Roman"/>
          <w:bCs/>
          <w:color w:val="000000" w:themeColor="text1"/>
          <w:kern w:val="36"/>
          <w:sz w:val="24"/>
          <w:szCs w:val="24"/>
          <w:lang w:eastAsia="ru-RU"/>
          <w14:textFill>
            <w14:solidFill>
              <w14:schemeClr w14:val="tx1"/>
            </w14:solidFill>
          </w14:textFill>
        </w:rPr>
        <w:t xml:space="preserve">                                                                             антимонопольного законодательства в</w:t>
      </w:r>
    </w:p>
    <w:p w14:paraId="7A2B3CC8">
      <w:pPr>
        <w:spacing w:after="0" w:line="240" w:lineRule="auto"/>
        <w:jc w:val="right"/>
        <w:outlineLvl w:val="0"/>
        <w:rPr>
          <w:rFonts w:ascii="Times New Roman" w:hAnsi="Times New Roman" w:eastAsia="Times New Roman" w:cs="Times New Roman"/>
          <w:bCs/>
          <w:color w:val="000000" w:themeColor="text1"/>
          <w:kern w:val="36"/>
          <w:sz w:val="24"/>
          <w:szCs w:val="24"/>
          <w:lang w:eastAsia="ru-RU"/>
          <w14:textFill>
            <w14:solidFill>
              <w14:schemeClr w14:val="tx1"/>
            </w14:solidFill>
          </w14:textFill>
        </w:rPr>
      </w:pPr>
      <w:r>
        <w:rPr>
          <w:rFonts w:ascii="Times New Roman" w:hAnsi="Times New Roman" w:eastAsia="Times New Roman" w:cs="Times New Roman"/>
          <w:bCs/>
          <w:color w:val="000000" w:themeColor="text1"/>
          <w:kern w:val="36"/>
          <w:sz w:val="24"/>
          <w:szCs w:val="24"/>
          <w:lang w:eastAsia="ru-RU"/>
          <w14:textFill>
            <w14:solidFill>
              <w14:schemeClr w14:val="tx1"/>
            </w14:solidFill>
          </w14:textFill>
        </w:rPr>
        <w:t xml:space="preserve">    администрации Красногорского района </w:t>
      </w:r>
    </w:p>
    <w:p w14:paraId="617277E8">
      <w:pPr>
        <w:spacing w:after="0" w:line="240" w:lineRule="auto"/>
        <w:jc w:val="right"/>
        <w:outlineLvl w:val="0"/>
        <w:rPr>
          <w:rFonts w:ascii="Times New Roman" w:hAnsi="Times New Roman" w:eastAsia="Times New Roman" w:cs="Times New Roman"/>
          <w:bCs/>
          <w:color w:val="000000" w:themeColor="text1"/>
          <w:kern w:val="36"/>
          <w:sz w:val="24"/>
          <w:szCs w:val="24"/>
          <w:lang w:eastAsia="ru-RU"/>
          <w14:textFill>
            <w14:solidFill>
              <w14:schemeClr w14:val="tx1"/>
            </w14:solidFill>
          </w14:textFill>
        </w:rPr>
      </w:pPr>
      <w:r>
        <w:rPr>
          <w:rFonts w:ascii="Times New Roman" w:hAnsi="Times New Roman" w:eastAsia="Times New Roman" w:cs="Times New Roman"/>
          <w:bCs/>
          <w:color w:val="000000" w:themeColor="text1"/>
          <w:kern w:val="36"/>
          <w:sz w:val="24"/>
          <w:szCs w:val="24"/>
          <w:lang w:eastAsia="ru-RU"/>
          <w14:textFill>
            <w14:solidFill>
              <w14:schemeClr w14:val="tx1"/>
            </w14:solidFill>
          </w14:textFill>
        </w:rPr>
        <w:t>от 30 .01.202</w:t>
      </w:r>
      <w:r>
        <w:rPr>
          <w:rFonts w:hint="default" w:ascii="Times New Roman" w:hAnsi="Times New Roman" w:eastAsia="Times New Roman" w:cs="Times New Roman"/>
          <w:bCs/>
          <w:color w:val="000000" w:themeColor="text1"/>
          <w:kern w:val="36"/>
          <w:sz w:val="24"/>
          <w:szCs w:val="24"/>
          <w:lang w:val="en-US" w:eastAsia="ru-RU"/>
          <w14:textFill>
            <w14:solidFill>
              <w14:schemeClr w14:val="tx1"/>
            </w14:solidFill>
          </w14:textFill>
        </w:rPr>
        <w:t>5</w:t>
      </w:r>
      <w:bookmarkStart w:id="0" w:name="_GoBack"/>
      <w:bookmarkEnd w:id="0"/>
      <w:r>
        <w:rPr>
          <w:rFonts w:ascii="Times New Roman" w:hAnsi="Times New Roman" w:eastAsia="Times New Roman" w:cs="Times New Roman"/>
          <w:bCs/>
          <w:color w:val="000000" w:themeColor="text1"/>
          <w:kern w:val="36"/>
          <w:sz w:val="24"/>
          <w:szCs w:val="24"/>
          <w:lang w:eastAsia="ru-RU"/>
          <w14:textFill>
            <w14:solidFill>
              <w14:schemeClr w14:val="tx1"/>
            </w14:solidFill>
          </w14:textFill>
        </w:rPr>
        <w:t xml:space="preserve"> г. № 1</w:t>
      </w:r>
    </w:p>
    <w:p w14:paraId="6FED1ED3">
      <w:pPr>
        <w:spacing w:after="0" w:line="240" w:lineRule="auto"/>
        <w:jc w:val="center"/>
        <w:outlineLvl w:val="0"/>
        <w:rPr>
          <w:rFonts w:ascii="Times New Roman" w:hAnsi="Times New Roman" w:eastAsia="Times New Roman" w:cs="Times New Roman"/>
          <w:bCs/>
          <w:color w:val="000000" w:themeColor="text1"/>
          <w:kern w:val="36"/>
          <w:sz w:val="24"/>
          <w:szCs w:val="24"/>
          <w:lang w:eastAsia="ru-RU"/>
          <w14:textFill>
            <w14:solidFill>
              <w14:schemeClr w14:val="tx1"/>
            </w14:solidFill>
          </w14:textFill>
        </w:rPr>
      </w:pPr>
    </w:p>
    <w:p w14:paraId="40526A93">
      <w:pPr>
        <w:spacing w:after="0" w:line="240" w:lineRule="auto"/>
        <w:jc w:val="right"/>
        <w:outlineLvl w:val="0"/>
        <w:rPr>
          <w:rFonts w:ascii="Times New Roman" w:hAnsi="Times New Roman" w:eastAsia="Times New Roman" w:cs="Times New Roman"/>
          <w:bCs/>
          <w:color w:val="000000" w:themeColor="text1"/>
          <w:kern w:val="36"/>
          <w:sz w:val="24"/>
          <w:szCs w:val="24"/>
          <w:lang w:eastAsia="ru-RU"/>
          <w14:textFill>
            <w14:solidFill>
              <w14:schemeClr w14:val="tx1"/>
            </w14:solidFill>
          </w14:textFill>
        </w:rPr>
      </w:pPr>
    </w:p>
    <w:p w14:paraId="1BA382DF">
      <w:pPr>
        <w:spacing w:after="0" w:line="240" w:lineRule="auto"/>
        <w:jc w:val="right"/>
        <w:outlineLvl w:val="0"/>
        <w:rPr>
          <w:rFonts w:ascii="Times New Roman" w:hAnsi="Times New Roman" w:eastAsia="Times New Roman" w:cs="Times New Roman"/>
          <w:bCs/>
          <w:color w:val="000000" w:themeColor="text1"/>
          <w:kern w:val="36"/>
          <w:sz w:val="24"/>
          <w:szCs w:val="24"/>
          <w:lang w:eastAsia="ru-RU"/>
          <w14:textFill>
            <w14:solidFill>
              <w14:schemeClr w14:val="tx1"/>
            </w14:solidFill>
          </w14:textFill>
        </w:rPr>
      </w:pPr>
    </w:p>
    <w:p w14:paraId="7378AC68">
      <w:pPr>
        <w:spacing w:after="0" w:line="240" w:lineRule="auto"/>
        <w:jc w:val="right"/>
        <w:outlineLvl w:val="0"/>
        <w:rPr>
          <w:rFonts w:ascii="Times New Roman" w:hAnsi="Times New Roman" w:eastAsia="Times New Roman" w:cs="Times New Roman"/>
          <w:bCs/>
          <w:color w:val="000000" w:themeColor="text1"/>
          <w:kern w:val="36"/>
          <w:sz w:val="24"/>
          <w:szCs w:val="24"/>
          <w:lang w:eastAsia="ru-RU"/>
          <w14:textFill>
            <w14:solidFill>
              <w14:schemeClr w14:val="tx1"/>
            </w14:solidFill>
          </w14:textFill>
        </w:rPr>
      </w:pPr>
    </w:p>
    <w:p w14:paraId="1003C7FC">
      <w:pPr>
        <w:spacing w:after="0" w:line="240" w:lineRule="auto"/>
        <w:jc w:val="right"/>
        <w:outlineLvl w:val="0"/>
        <w:rPr>
          <w:rFonts w:ascii="Times New Roman" w:hAnsi="Times New Roman" w:eastAsia="Times New Roman" w:cs="Times New Roman"/>
          <w:bCs/>
          <w:color w:val="000000" w:themeColor="text1"/>
          <w:kern w:val="36"/>
          <w:sz w:val="24"/>
          <w:szCs w:val="24"/>
          <w:lang w:eastAsia="ru-RU"/>
          <w14:textFill>
            <w14:solidFill>
              <w14:schemeClr w14:val="tx1"/>
            </w14:solidFill>
          </w14:textFill>
        </w:rPr>
      </w:pPr>
    </w:p>
    <w:p w14:paraId="6116A883">
      <w:pPr>
        <w:spacing w:after="0" w:line="240" w:lineRule="auto"/>
        <w:jc w:val="center"/>
        <w:outlineLvl w:val="0"/>
        <w:rPr>
          <w:rFonts w:ascii="Times New Roman" w:hAnsi="Times New Roman" w:eastAsia="Times New Roman" w:cs="Times New Roman"/>
          <w:b/>
          <w:bCs/>
          <w:color w:val="000000" w:themeColor="text1"/>
          <w:kern w:val="36"/>
          <w:sz w:val="28"/>
          <w:szCs w:val="28"/>
          <w:lang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eastAsia="ru-RU"/>
          <w14:textFill>
            <w14:solidFill>
              <w14:schemeClr w14:val="tx1"/>
            </w14:solidFill>
          </w14:textFill>
        </w:rPr>
        <w:t>Доклад об организации системы внутреннего обеспечения соответствия деятельности администрации Красногорского района Брянской области требованиям антимонопольного законодательства за 2024 год</w:t>
      </w:r>
    </w:p>
    <w:p w14:paraId="4559CA2A">
      <w:pPr>
        <w:spacing w:after="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p>
    <w:p w14:paraId="63862992">
      <w:pPr>
        <w:spacing w:after="0" w:line="240" w:lineRule="auto"/>
        <w:jc w:val="both"/>
        <w:rPr>
          <w:rFonts w:ascii="Times New Roman" w:hAnsi="Times New Roman" w:eastAsia="Times New Roman" w:cs="Times New Roman"/>
          <w:bCs/>
          <w:color w:val="000000" w:themeColor="text1"/>
          <w:sz w:val="28"/>
          <w:szCs w:val="28"/>
          <w:lang w:eastAsia="ru-RU"/>
          <w14:textFill>
            <w14:solidFill>
              <w14:schemeClr w14:val="tx1"/>
            </w14:solidFill>
          </w14:textFill>
        </w:rPr>
      </w:pPr>
      <w:r>
        <w:rPr>
          <w:rFonts w:ascii="Times New Roman" w:hAnsi="Times New Roman" w:eastAsia="Times New Roman" w:cs="Times New Roman"/>
          <w:bCs/>
          <w:color w:val="000000" w:themeColor="text1"/>
          <w:sz w:val="28"/>
          <w:szCs w:val="28"/>
          <w:lang w:eastAsia="ru-RU"/>
          <w14:textFill>
            <w14:solidFill>
              <w14:schemeClr w14:val="tx1"/>
            </w14:solidFill>
          </w14:textFill>
        </w:rPr>
        <w:t xml:space="preserve">     В соответствии с Указом Президента Российской Федерации от 21.12.2017 г. № 618 «Об основных направлениях государственной политики по развитию конкуренции», распоряжением Губернатора Брянской области от 18 января 2019 г. № 26-рг «О мерах по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Брянской области», постановлением администрации Красногорского района Брянской области от </w:t>
      </w:r>
      <w:r>
        <w:rPr>
          <w:rFonts w:ascii="Times New Roman" w:hAnsi="Times New Roman" w:eastAsia="Times New Roman" w:cs="Times New Roman"/>
          <w:bCs/>
          <w:sz w:val="28"/>
          <w:szCs w:val="28"/>
          <w:lang w:eastAsia="ru-RU"/>
        </w:rPr>
        <w:t xml:space="preserve">14.02.2019 г. № 76 «Об организации в администрации Красногорского района Брянской области системы внутреннего обеспечения соответствия требованиям  антимонопольного законодательства (антимонопольного комплаенса)» утверждено «Положение об организации в администрации Красногорского района Брянской области системы внутреннего обеспечения соответствия требованиям антимонопольного законодательства (антимонопольного комплаенса)». </w:t>
      </w:r>
      <w:r>
        <w:rPr>
          <w:rFonts w:ascii="Times New Roman" w:hAnsi="Times New Roman" w:eastAsia="Times New Roman" w:cs="Times New Roman"/>
          <w:bCs/>
          <w:color w:val="000000" w:themeColor="text1"/>
          <w:sz w:val="28"/>
          <w:szCs w:val="28"/>
          <w:lang w:eastAsia="ru-RU"/>
          <w14:textFill>
            <w14:solidFill>
              <w14:schemeClr w14:val="tx1"/>
            </w14:solidFill>
          </w14:textFill>
        </w:rPr>
        <w:t>Указанным постановлением определен уполномоченный орган за внедрение системы внутреннего обеспечения соответствия требованиям антимонопольного законодательства, утверждены уровни рисков нарушений антимонопольного законодательства, ключевые показатели эффективности реализации мероприятий антимонопольного комплаенса, план мероприятий по снижению рисков нарушения антимонопольного законодательства в администрации Красногорского района Брянской области.</w:t>
      </w:r>
    </w:p>
    <w:p w14:paraId="197BC6F7">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     Положение об организации в администрации Красногорского района </w:t>
      </w:r>
      <w:r>
        <w:rPr>
          <w:rFonts w:ascii="Times New Roman" w:hAnsi="Times New Roman" w:eastAsia="Times New Roman" w:cs="Times New Roman"/>
          <w:bCs/>
          <w:color w:val="000000" w:themeColor="text1"/>
          <w:sz w:val="28"/>
          <w:szCs w:val="28"/>
          <w:lang w:eastAsia="ru-RU"/>
          <w14:textFill>
            <w14:solidFill>
              <w14:schemeClr w14:val="tx1"/>
            </w14:solidFill>
          </w14:textFill>
        </w:rPr>
        <w:t>Брянской области</w:t>
      </w:r>
      <w:r>
        <w:rPr>
          <w:rFonts w:ascii="Times New Roman" w:hAnsi="Times New Roman" w:eastAsia="Times New Roman" w:cs="Times New Roman"/>
          <w:bCs/>
          <w:sz w:val="28"/>
          <w:szCs w:val="28"/>
          <w:lang w:eastAsia="ru-RU"/>
        </w:rPr>
        <w:t xml:space="preserve"> системы внутреннего обеспечения соответствия требованиям антимонопольного законодательства (далее - Положение) разработано в целях обеспечения соответствия деятельности администрации Красногорского района </w:t>
      </w:r>
      <w:r>
        <w:rPr>
          <w:rFonts w:ascii="Times New Roman" w:hAnsi="Times New Roman" w:eastAsia="Times New Roman" w:cs="Times New Roman"/>
          <w:bCs/>
          <w:color w:val="000000" w:themeColor="text1"/>
          <w:sz w:val="28"/>
          <w:szCs w:val="28"/>
          <w:lang w:eastAsia="ru-RU"/>
          <w14:textFill>
            <w14:solidFill>
              <w14:schemeClr w14:val="tx1"/>
            </w14:solidFill>
          </w14:textFill>
        </w:rPr>
        <w:t>Брянской области</w:t>
      </w:r>
      <w:r>
        <w:rPr>
          <w:rFonts w:ascii="Times New Roman" w:hAnsi="Times New Roman" w:eastAsia="Times New Roman" w:cs="Times New Roman"/>
          <w:bCs/>
          <w:sz w:val="28"/>
          <w:szCs w:val="28"/>
          <w:lang w:eastAsia="ru-RU"/>
        </w:rPr>
        <w:t xml:space="preserve"> требованиям антимонопольного законодательства и профилактики нарушений антимонопольного законодательства.</w:t>
      </w:r>
    </w:p>
    <w:p w14:paraId="6AFD57C9">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     Задачами антимонопольного комплаенса администрации Красногорского района</w:t>
      </w:r>
      <w:r>
        <w:rPr>
          <w:rFonts w:ascii="Times New Roman" w:hAnsi="Times New Roman" w:eastAsia="Times New Roman" w:cs="Times New Roman"/>
          <w:bCs/>
          <w:color w:val="000000" w:themeColor="text1"/>
          <w:sz w:val="28"/>
          <w:szCs w:val="28"/>
          <w:lang w:eastAsia="ru-RU"/>
          <w14:textFill>
            <w14:solidFill>
              <w14:schemeClr w14:val="tx1"/>
            </w14:solidFill>
          </w14:textFill>
        </w:rPr>
        <w:t xml:space="preserve"> Брянской области</w:t>
      </w:r>
      <w:r>
        <w:rPr>
          <w:rFonts w:ascii="Times New Roman" w:hAnsi="Times New Roman" w:eastAsia="Times New Roman" w:cs="Times New Roman"/>
          <w:bCs/>
          <w:sz w:val="28"/>
          <w:szCs w:val="28"/>
          <w:lang w:eastAsia="ru-RU"/>
        </w:rPr>
        <w:t xml:space="preserve"> являются:</w:t>
      </w:r>
    </w:p>
    <w:p w14:paraId="78C33C8A">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выявление и оценка рисков нарушения антимонопольного законодательства;</w:t>
      </w:r>
    </w:p>
    <w:p w14:paraId="3ED545C7">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снижение рисков нарушения антимонопольного законодательства;</w:t>
      </w:r>
    </w:p>
    <w:p w14:paraId="7DF6F4A0">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 контроль за соответствием деятельности администрации Красногорского района </w:t>
      </w:r>
      <w:r>
        <w:rPr>
          <w:rFonts w:ascii="Times New Roman" w:hAnsi="Times New Roman" w:eastAsia="Times New Roman" w:cs="Times New Roman"/>
          <w:bCs/>
          <w:color w:val="000000" w:themeColor="text1"/>
          <w:sz w:val="28"/>
          <w:szCs w:val="28"/>
          <w:lang w:eastAsia="ru-RU"/>
          <w14:textFill>
            <w14:solidFill>
              <w14:schemeClr w14:val="tx1"/>
            </w14:solidFill>
          </w14:textFill>
        </w:rPr>
        <w:t>Брянской области</w:t>
      </w:r>
      <w:r>
        <w:rPr>
          <w:rFonts w:ascii="Times New Roman" w:hAnsi="Times New Roman" w:eastAsia="Times New Roman" w:cs="Times New Roman"/>
          <w:bCs/>
          <w:sz w:val="28"/>
          <w:szCs w:val="28"/>
          <w:lang w:eastAsia="ru-RU"/>
        </w:rPr>
        <w:t xml:space="preserve"> требованиям антимонопольного законодательства;</w:t>
      </w:r>
    </w:p>
    <w:p w14:paraId="23BFE973">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-оценка эффективности функционирования в администрации Красногорского района </w:t>
      </w:r>
      <w:r>
        <w:rPr>
          <w:rFonts w:ascii="Times New Roman" w:hAnsi="Times New Roman" w:eastAsia="Times New Roman" w:cs="Times New Roman"/>
          <w:bCs/>
          <w:color w:val="000000" w:themeColor="text1"/>
          <w:sz w:val="28"/>
          <w:szCs w:val="28"/>
          <w:lang w:eastAsia="ru-RU"/>
          <w14:textFill>
            <w14:solidFill>
              <w14:schemeClr w14:val="tx1"/>
            </w14:solidFill>
          </w14:textFill>
        </w:rPr>
        <w:t>Брянской области</w:t>
      </w:r>
      <w:r>
        <w:rPr>
          <w:rFonts w:ascii="Times New Roman" w:hAnsi="Times New Roman" w:eastAsia="Times New Roman" w:cs="Times New Roman"/>
          <w:bCs/>
          <w:sz w:val="28"/>
          <w:szCs w:val="28"/>
          <w:lang w:eastAsia="ru-RU"/>
        </w:rPr>
        <w:t xml:space="preserve"> антимонопольного комплаенса.</w:t>
      </w:r>
    </w:p>
    <w:p w14:paraId="70C3FD87">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     С целью обеспечения доступности к информации об исполнении антимонопольного законодательства на официальном сайте администрации Красногорского района в информационно-телекоммуникационной сети «Интернет» в разделе «Развитие конкуренции» размещаются соответствующие документы.</w:t>
      </w:r>
    </w:p>
    <w:p w14:paraId="6B23AC8E">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     В целях выявления и исключения рисков нарушения антимонопольного законодательства осуществлен анализ нормативных правовых актов, проектов нормативных правовых актов администрации района, определен уровень рисков нарушений антимонопольного законодательства. </w:t>
      </w:r>
    </w:p>
    <w:p w14:paraId="7CA1EFFE">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     В 2024г. администрацией Красногорского района </w:t>
      </w:r>
      <w:r>
        <w:rPr>
          <w:rFonts w:ascii="Times New Roman" w:hAnsi="Times New Roman" w:eastAsia="Times New Roman" w:cs="Times New Roman"/>
          <w:bCs/>
          <w:color w:val="000000" w:themeColor="text1"/>
          <w:sz w:val="28"/>
          <w:szCs w:val="28"/>
          <w:lang w:eastAsia="ru-RU"/>
          <w14:textFill>
            <w14:solidFill>
              <w14:schemeClr w14:val="tx1"/>
            </w14:solidFill>
          </w14:textFill>
        </w:rPr>
        <w:t>Брянской области</w:t>
      </w:r>
      <w:r>
        <w:rPr>
          <w:rFonts w:ascii="Times New Roman" w:hAnsi="Times New Roman" w:eastAsia="Times New Roman" w:cs="Times New Roman"/>
          <w:bCs/>
          <w:sz w:val="28"/>
          <w:szCs w:val="28"/>
          <w:lang w:eastAsia="ru-RU"/>
        </w:rPr>
        <w:t xml:space="preserve"> подготовлено и принято 1051 нормативно-правовых акта и конкурсной  документации для осуществления 90 закупок, товаров (работ, услуг).      </w:t>
      </w:r>
    </w:p>
    <w:p w14:paraId="7BD5E5DC">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color w:val="FF0000"/>
          <w:sz w:val="28"/>
          <w:szCs w:val="28"/>
          <w:lang w:eastAsia="ru-RU"/>
        </w:rPr>
        <w:t xml:space="preserve">     </w:t>
      </w:r>
      <w:r>
        <w:rPr>
          <w:rFonts w:ascii="Times New Roman" w:hAnsi="Times New Roman" w:eastAsia="Times New Roman" w:cs="Times New Roman"/>
          <w:bCs/>
          <w:sz w:val="28"/>
          <w:szCs w:val="28"/>
          <w:lang w:eastAsia="ru-RU"/>
        </w:rPr>
        <w:t xml:space="preserve">По итогам проведенного анализа проектов нормативных правовых актов и аукционной документации сделан вывод об их соответствии антимонопольному законодательству и низкому уровню рисков нарушений антимонопольного законодательства.      </w:t>
      </w:r>
    </w:p>
    <w:p w14:paraId="6BAD3126">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    Мониторинг практики применения в администрации Красногорского района Брянской области антимонопольного законодательства показал, что Управлением Федеральной антимонопольной службы по Брянской области за 2024 год было выдано  два предупреждения о прекращении действий (бездействия), которые содержат признаки нарушения антимонопольного законодательства, одно предписание о совершении действий, направленных на устранение нарушения порядка организации и проведения торгов путем аннулирования аукциона и наложено шесть штрафов на должностных лиц за нарушения при осуществлении закупок товаров, работ, услуг для муниципальных нужд, что соответствует существенному уровню рисков нарушений антимонопольного законодательства.</w:t>
      </w:r>
    </w:p>
    <w:p w14:paraId="1C7FFB2A">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  В целях минимизации и устранения выявленного риска с сотрудниками администрации района, ответственными за работу  с единой информационной системой, проведена разъяснительная  беседа о необходимости соблюдения требований и мониторинга изменений действующего законодательства о контрактной системе в сфере закупок товаров, работ, услуг для обеспечения государственных и муниципальных нужд, а также усилен контроль за соблюдением требований действующего законодательства в процессе согласования проектов документации.  Все сотрудники администрации района  ознакомлены с Указом Президента РФ от 21.12.2017 г. № 618 «Об основных направлениях государственной политики по развитию конкуренции», распоряжением Губернатора Брянской области от 18.01.2019 г. № 26-р «О мерах по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Брянской области»,  «Положением об организации в администрации Красногорского района Брянской области  системы внутреннего обеспечения соответствия требованиям антимонопольного законодательства» утвержденным постановлением администрации Красногорского района Брянской области от 14.02.2019 г. № 76.</w:t>
      </w:r>
    </w:p>
    <w:p w14:paraId="62C72995">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        Замечаний и предложений от общественных организаций, юридических и физических лиц не поступало. </w:t>
      </w:r>
    </w:p>
    <w:p w14:paraId="5CD3623C">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     В деятельности сотрудников администрации конфликта интересов не выявлено.</w:t>
      </w:r>
    </w:p>
    <w:p w14:paraId="6D0D3DAB">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Оценка эффективности функционирования антимонопольного комплаенса:</w:t>
      </w:r>
    </w:p>
    <w:p w14:paraId="70FC22D4">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Ключевыми показателями эффективности функционирования антимонопольного комплаенса для администрации Красногорского района являются:</w:t>
      </w:r>
    </w:p>
    <w:p w14:paraId="16427C76">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    1) коэффициент снижения количества нарушений антимонопольного законодательства;</w:t>
      </w:r>
    </w:p>
    <w:p w14:paraId="5ECC0046">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    2)  доля проектов нормативных правовых актов, в которых выявлены риски нарушения антимонопольного законодательства;</w:t>
      </w:r>
    </w:p>
    <w:p w14:paraId="7C63AE05">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    3) доля нормативных правовых актов, в которых выявлены риски нарушения антимонопольного законодательства;</w:t>
      </w:r>
    </w:p>
    <w:p w14:paraId="7ABA53C3">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    4)  доля сотрудников администрации Красногорского района, с которыми были проведены обучающие мероприятия по антимонопольному законодательству и антимонопольному комплаенсу.</w:t>
      </w:r>
    </w:p>
    <w:p w14:paraId="21D552A2">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    По итогам проведенного анализа нормативных правовых актов (проектов нормативных правовых актов), разработанных и принятых в 2024 году, администрацией Красногорского района сделан вывод об их соответствии антимонопольному законодательству, 100 % сотрудников ознакомлены с нормативными правовыми актами, регулирующими антимонопольный комплаенс. </w:t>
      </w:r>
    </w:p>
    <w:p w14:paraId="1AB92392">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                Выводы: </w:t>
      </w:r>
    </w:p>
    <w:p w14:paraId="3568DF82">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ab/>
      </w:r>
      <w:r>
        <w:rPr>
          <w:rFonts w:ascii="Times New Roman" w:hAnsi="Times New Roman" w:eastAsia="Times New Roman" w:cs="Times New Roman"/>
          <w:bCs/>
          <w:sz w:val="28"/>
          <w:szCs w:val="28"/>
          <w:lang w:eastAsia="ru-RU"/>
        </w:rPr>
        <w:t>В администрации Красногорского района Брянской области осуществлено внедрение системы внутреннего обеспечения соответствия требованиям антимонопольного законодательства. Обеспечена доступность соответствующей информации на официальном сайте администрации Красногорского района.</w:t>
      </w:r>
    </w:p>
    <w:p w14:paraId="07F7963D">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ab/>
      </w:r>
      <w:r>
        <w:rPr>
          <w:rFonts w:ascii="Times New Roman" w:hAnsi="Times New Roman" w:eastAsia="Times New Roman" w:cs="Times New Roman"/>
          <w:bCs/>
          <w:sz w:val="28"/>
          <w:szCs w:val="28"/>
          <w:lang w:eastAsia="ru-RU"/>
        </w:rPr>
        <w:t>В 2025 году для профилактики и снижения рисков нарушения администрацией Красногорского района антимонопольного законодательства необходимо на постоянной основе проводить мероприятия по усилению контроля за соответствием документации о закупке требованиям антимонопольного законодательства, а также правовую экспертизу издаваемых администрацией района нормативных правовых актов в целях выявления и устранения нарушений.</w:t>
      </w:r>
      <w:r>
        <w:t xml:space="preserve"> </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7BF"/>
    <w:rsid w:val="0000396F"/>
    <w:rsid w:val="00066596"/>
    <w:rsid w:val="000D36B6"/>
    <w:rsid w:val="000E28A7"/>
    <w:rsid w:val="00136713"/>
    <w:rsid w:val="00162C0B"/>
    <w:rsid w:val="001911E1"/>
    <w:rsid w:val="00191E21"/>
    <w:rsid w:val="001A4F31"/>
    <w:rsid w:val="001D15B4"/>
    <w:rsid w:val="001E28CD"/>
    <w:rsid w:val="00203742"/>
    <w:rsid w:val="0024182D"/>
    <w:rsid w:val="0025604A"/>
    <w:rsid w:val="00290CC6"/>
    <w:rsid w:val="00293AF4"/>
    <w:rsid w:val="002A47BC"/>
    <w:rsid w:val="002B775E"/>
    <w:rsid w:val="002B77C4"/>
    <w:rsid w:val="002E3C49"/>
    <w:rsid w:val="002E5F7E"/>
    <w:rsid w:val="002F36C5"/>
    <w:rsid w:val="003042D0"/>
    <w:rsid w:val="003347E2"/>
    <w:rsid w:val="003427C4"/>
    <w:rsid w:val="00347EC9"/>
    <w:rsid w:val="0037180D"/>
    <w:rsid w:val="00373B52"/>
    <w:rsid w:val="003777CE"/>
    <w:rsid w:val="003815C6"/>
    <w:rsid w:val="003D5930"/>
    <w:rsid w:val="005A6623"/>
    <w:rsid w:val="005F5691"/>
    <w:rsid w:val="00633C4C"/>
    <w:rsid w:val="00646A15"/>
    <w:rsid w:val="006D59CC"/>
    <w:rsid w:val="00710E37"/>
    <w:rsid w:val="007901B1"/>
    <w:rsid w:val="007937B3"/>
    <w:rsid w:val="00800078"/>
    <w:rsid w:val="008239AD"/>
    <w:rsid w:val="00830A9E"/>
    <w:rsid w:val="00842D65"/>
    <w:rsid w:val="008842B5"/>
    <w:rsid w:val="008A78C2"/>
    <w:rsid w:val="008F3503"/>
    <w:rsid w:val="00915170"/>
    <w:rsid w:val="00915EFA"/>
    <w:rsid w:val="009352B9"/>
    <w:rsid w:val="009A1B37"/>
    <w:rsid w:val="009D2EB0"/>
    <w:rsid w:val="009D6C54"/>
    <w:rsid w:val="00A17136"/>
    <w:rsid w:val="00A2630D"/>
    <w:rsid w:val="00A31D2D"/>
    <w:rsid w:val="00A362C2"/>
    <w:rsid w:val="00A44AEC"/>
    <w:rsid w:val="00A67780"/>
    <w:rsid w:val="00AA2610"/>
    <w:rsid w:val="00AC7528"/>
    <w:rsid w:val="00AD1DCD"/>
    <w:rsid w:val="00B01B89"/>
    <w:rsid w:val="00B36D67"/>
    <w:rsid w:val="00B531D6"/>
    <w:rsid w:val="00B91EF1"/>
    <w:rsid w:val="00C02191"/>
    <w:rsid w:val="00C4069C"/>
    <w:rsid w:val="00C41533"/>
    <w:rsid w:val="00C727BF"/>
    <w:rsid w:val="00CC0F60"/>
    <w:rsid w:val="00CF73EE"/>
    <w:rsid w:val="00D074D9"/>
    <w:rsid w:val="00E03AA6"/>
    <w:rsid w:val="00E27672"/>
    <w:rsid w:val="00E40195"/>
    <w:rsid w:val="00E422A2"/>
    <w:rsid w:val="00E47A0E"/>
    <w:rsid w:val="00E84C0C"/>
    <w:rsid w:val="00F10A38"/>
    <w:rsid w:val="00F2563B"/>
    <w:rsid w:val="00F47BEC"/>
    <w:rsid w:val="00F53072"/>
    <w:rsid w:val="00F547E4"/>
    <w:rsid w:val="00F67782"/>
    <w:rsid w:val="00FB0C16"/>
    <w:rsid w:val="00FC61D6"/>
    <w:rsid w:val="00FE185B"/>
    <w:rsid w:val="3D5775E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1160</Words>
  <Characters>6618</Characters>
  <Lines>55</Lines>
  <Paragraphs>15</Paragraphs>
  <TotalTime>169</TotalTime>
  <ScaleCrop>false</ScaleCrop>
  <LinksUpToDate>false</LinksUpToDate>
  <CharactersWithSpaces>7763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2025-01-28T12:55:00Z</dcterms:created>
  <dc:creator>AniksTD RS-0024-1</dc:creator>
  <cp:lastModifiedBy>User-2</cp:lastModifiedBy>
  <cp:lastPrinted>2025-01-30T11:24:00Z</cp:lastPrinted>
  <dcterms:modified xsi:type="dcterms:W3CDTF">2025-01-31T04:38:56Z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C3894F9F059F4D2495B34290F1CF8491_12</vt:lpwstr>
  </property>
</Properties>
</file>