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ECF" w:rsidRDefault="00A10ECF" w:rsidP="00A10ECF">
      <w:pPr>
        <w:autoSpaceDE w:val="0"/>
        <w:autoSpaceDN w:val="0"/>
        <w:adjustRightInd w:val="0"/>
        <w:spacing w:after="0" w:line="360" w:lineRule="auto"/>
        <w:ind w:firstLine="567"/>
        <w:jc w:val="center"/>
        <w:rPr>
          <w:rFonts w:ascii="Times New Roman" w:hAnsi="Times New Roman" w:cs="Times New Roman"/>
          <w:sz w:val="28"/>
          <w:szCs w:val="28"/>
        </w:rPr>
      </w:pPr>
      <w:r w:rsidRPr="00A10ECF">
        <w:rPr>
          <w:rFonts w:ascii="Times New Roman" w:hAnsi="Times New Roman" w:cs="Times New Roman"/>
          <w:sz w:val="28"/>
          <w:szCs w:val="28"/>
        </w:rPr>
        <w:t xml:space="preserve">Уважаемые депутаты и приглашенные предлагаю </w:t>
      </w:r>
      <w:proofErr w:type="gramStart"/>
      <w:r w:rsidRPr="00A10ECF">
        <w:rPr>
          <w:rFonts w:ascii="Times New Roman" w:hAnsi="Times New Roman" w:cs="Times New Roman"/>
          <w:sz w:val="28"/>
          <w:szCs w:val="28"/>
        </w:rPr>
        <w:t>Вашему</w:t>
      </w:r>
      <w:proofErr w:type="gramEnd"/>
    </w:p>
    <w:p w:rsidR="00A10ECF" w:rsidRDefault="00A10ECF" w:rsidP="00A10ECF">
      <w:pPr>
        <w:autoSpaceDE w:val="0"/>
        <w:autoSpaceDN w:val="0"/>
        <w:adjustRightInd w:val="0"/>
        <w:spacing w:after="0" w:line="360" w:lineRule="auto"/>
        <w:ind w:firstLine="567"/>
        <w:jc w:val="center"/>
        <w:rPr>
          <w:rFonts w:ascii="Times New Roman" w:hAnsi="Times New Roman" w:cs="Times New Roman"/>
          <w:sz w:val="28"/>
          <w:szCs w:val="28"/>
        </w:rPr>
      </w:pPr>
      <w:r w:rsidRPr="00A10ECF">
        <w:rPr>
          <w:rFonts w:ascii="Times New Roman" w:hAnsi="Times New Roman" w:cs="Times New Roman"/>
          <w:sz w:val="28"/>
          <w:szCs w:val="28"/>
        </w:rPr>
        <w:t>вниманию отчет о работе Контрольно-счетной палаты</w:t>
      </w:r>
    </w:p>
    <w:p w:rsidR="00A10ECF" w:rsidRPr="00A10ECF" w:rsidRDefault="00A10ECF" w:rsidP="00A10ECF">
      <w:pPr>
        <w:autoSpaceDE w:val="0"/>
        <w:autoSpaceDN w:val="0"/>
        <w:adjustRightInd w:val="0"/>
        <w:spacing w:after="0" w:line="360" w:lineRule="auto"/>
        <w:ind w:firstLine="567"/>
        <w:jc w:val="center"/>
        <w:rPr>
          <w:rFonts w:ascii="Times New Roman" w:hAnsi="Times New Roman" w:cs="Times New Roman"/>
          <w:sz w:val="28"/>
          <w:szCs w:val="28"/>
        </w:rPr>
      </w:pPr>
      <w:r w:rsidRPr="00A10ECF">
        <w:rPr>
          <w:rFonts w:ascii="Times New Roman" w:hAnsi="Times New Roman" w:cs="Times New Roman"/>
          <w:sz w:val="28"/>
          <w:szCs w:val="28"/>
        </w:rPr>
        <w:t>Красногорского района за 2020 год</w:t>
      </w:r>
    </w:p>
    <w:p w:rsidR="00A10ECF" w:rsidRPr="00A10ECF" w:rsidRDefault="00A10ECF" w:rsidP="00A10ECF">
      <w:pPr>
        <w:spacing w:after="0" w:line="360" w:lineRule="auto"/>
        <w:ind w:firstLine="567"/>
        <w:jc w:val="both"/>
        <w:rPr>
          <w:rFonts w:ascii="Times New Roman" w:hAnsi="Times New Roman" w:cs="Times New Roman"/>
          <w:sz w:val="28"/>
          <w:szCs w:val="28"/>
        </w:rPr>
      </w:pPr>
    </w:p>
    <w:p w:rsidR="00A10ECF" w:rsidRPr="00A10ECF" w:rsidRDefault="00A10ECF" w:rsidP="00A10ECF">
      <w:pPr>
        <w:spacing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В соответствии с планом работы Контрольно-счетной палаты на 2020 год, утвержденным распоряжением председателя Контрольно-счетной палаты Красногорского района № 81 от 23.12.2019 года и измененным планом на 2020 год утвержденным распоряжениями председателя Контрольно-счетной палаты № 25 от 30.04.2020 года, № 47 от 29.07.2020 года, № 54/1 от 03.09.2020 года, №78 от 03.12.2020 года предусмотрено проведение 13 контрольных и экспертно-аналитических мероприятий, из них 3 контрольных</w:t>
      </w:r>
      <w:proofErr w:type="gramEnd"/>
      <w:r w:rsidRPr="00A10ECF">
        <w:rPr>
          <w:rFonts w:ascii="Times New Roman" w:hAnsi="Times New Roman" w:cs="Times New Roman"/>
          <w:sz w:val="28"/>
          <w:szCs w:val="28"/>
        </w:rPr>
        <w:t xml:space="preserve"> и 10 экспертно-аналитических в </w:t>
      </w:r>
      <w:proofErr w:type="gramStart"/>
      <w:r w:rsidRPr="00A10ECF">
        <w:rPr>
          <w:rFonts w:ascii="Times New Roman" w:hAnsi="Times New Roman" w:cs="Times New Roman"/>
          <w:sz w:val="28"/>
          <w:szCs w:val="28"/>
        </w:rPr>
        <w:t>рамках</w:t>
      </w:r>
      <w:proofErr w:type="gramEnd"/>
      <w:r w:rsidRPr="00A10ECF">
        <w:rPr>
          <w:rFonts w:ascii="Times New Roman" w:hAnsi="Times New Roman" w:cs="Times New Roman"/>
          <w:sz w:val="28"/>
          <w:szCs w:val="28"/>
        </w:rPr>
        <w:t xml:space="preserve"> которых необходимо было охватить 48 объектов.</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Фактически в 2020 году было проведено 13 контрольных и экспертно-аналитических мероприятий, в том числе 3 контрольных мероприятия и 11 экспертно-аналитических, в рамках которых охвачено 48 объектов, общий объем проверенных средств составил в сумме 14723,50 тыс. рублей.</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Контрольно-счетной палатой Красногорского района проведены контрольные мероприятия: «Проверка финансово-хозяйственной деятельности </w:t>
      </w:r>
      <w:proofErr w:type="spellStart"/>
      <w:r w:rsidRPr="00A10ECF">
        <w:rPr>
          <w:rFonts w:ascii="Times New Roman" w:hAnsi="Times New Roman" w:cs="Times New Roman"/>
          <w:sz w:val="28"/>
          <w:szCs w:val="28"/>
        </w:rPr>
        <w:t>Любовшанской</w:t>
      </w:r>
      <w:proofErr w:type="spellEnd"/>
      <w:r w:rsidRPr="00A10ECF">
        <w:rPr>
          <w:rFonts w:ascii="Times New Roman" w:hAnsi="Times New Roman" w:cs="Times New Roman"/>
          <w:sz w:val="28"/>
          <w:szCs w:val="28"/>
        </w:rPr>
        <w:t xml:space="preserve">, </w:t>
      </w:r>
      <w:proofErr w:type="spellStart"/>
      <w:r w:rsidRPr="00A10ECF">
        <w:rPr>
          <w:rFonts w:ascii="Times New Roman" w:hAnsi="Times New Roman" w:cs="Times New Roman"/>
          <w:sz w:val="28"/>
          <w:szCs w:val="28"/>
        </w:rPr>
        <w:t>Перелазской</w:t>
      </w:r>
      <w:proofErr w:type="spellEnd"/>
      <w:r w:rsidRPr="00A10ECF">
        <w:rPr>
          <w:rFonts w:ascii="Times New Roman" w:hAnsi="Times New Roman" w:cs="Times New Roman"/>
          <w:sz w:val="28"/>
          <w:szCs w:val="28"/>
        </w:rPr>
        <w:t xml:space="preserve"> и </w:t>
      </w:r>
      <w:proofErr w:type="spellStart"/>
      <w:r w:rsidRPr="00A10ECF">
        <w:rPr>
          <w:rFonts w:ascii="Times New Roman" w:hAnsi="Times New Roman" w:cs="Times New Roman"/>
          <w:sz w:val="28"/>
          <w:szCs w:val="28"/>
        </w:rPr>
        <w:t>Колюдовской</w:t>
      </w:r>
      <w:proofErr w:type="spellEnd"/>
      <w:r w:rsidRPr="00A10ECF">
        <w:rPr>
          <w:rFonts w:ascii="Times New Roman" w:hAnsi="Times New Roman" w:cs="Times New Roman"/>
          <w:sz w:val="28"/>
          <w:szCs w:val="28"/>
        </w:rPr>
        <w:t xml:space="preserve"> сельских администраций Красногорского района Брянской области за 2018-2020 годы».</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10 экспертно-аналитических мероприятий, в рамках которых охвачено 45 объекта, в том числе:</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- 8 мероприятий по соглашениям о сотрудничестве с поселениями, в рамках которых охвачено 37 объектов: проверка годовых отчетов за 2019 год, за 1 квартал 2020 года, 1 полугодие 2020 года и за 9 месяцев 2020 года. По </w:t>
      </w:r>
      <w:r w:rsidRPr="00A10ECF">
        <w:rPr>
          <w:rFonts w:ascii="Times New Roman" w:hAnsi="Times New Roman" w:cs="Times New Roman"/>
          <w:sz w:val="28"/>
          <w:szCs w:val="28"/>
        </w:rPr>
        <w:lastRenderedPageBreak/>
        <w:t>итогам данных проверок подготовлено и направлено в Совет народных депутатов района и поселений 37 заключений.</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- 2 экспертно-аналитических мероприятия «Экспертиза и подготовка заключения на проекты решений «О бюджете Красногорского муниципального района Брянской области, Красногорского городского поселения и бюджетах 6 сельских поселений района на 2021 год и плановый период 2022-2023 годов». По итогам данных проверок подготовлено и направлено в Красногорский районный Совет народных депутатов 1 заключение, 1 заключение в Красногорский поселковый Совет народных депутатов и 6 заключений в сельские Советы народных депутатов. В рамках подготовки заключений на проекты бюджетов муниципальных образований района на 2021 и плановый период 2022-2023 годов была проведена экспертиза проектов муниципальных программ.</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Вместе с тем Контрольно-счетной палатой в 2020 году проведена экспертиза 4 проектов нормативно-правовых актов по внесению изменений в бюджет Красногорского муниципального района Брянской области в 2020 году.</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По итогам указанных экспертиз подготовлено и направлено 4 заключения с 4 предложениями, из них принято 4 предложения.</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Также в 2020 году проведена экспертиза 9 проектов нормативно-правовых актов по внесению изменений в бюджет Красногорского городского поселения Красногорского муниципального района Брянской области и 47 экспертиз проектов нормативно-правовых актов по внесению изменений в бюджеты 6 сельских поселений.</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По итогам указанных экспертиз подготовлено и направлено 56 заключений, из них принято 56 предложений.</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По итогам проведенных 3 контрольных и 10 экспертно-аналитических мероприятий установлено 6 нарушений, предусмотренных Классификатором </w:t>
      </w:r>
      <w:r w:rsidRPr="00A10ECF">
        <w:rPr>
          <w:rFonts w:ascii="Times New Roman" w:hAnsi="Times New Roman" w:cs="Times New Roman"/>
          <w:sz w:val="28"/>
          <w:szCs w:val="28"/>
        </w:rPr>
        <w:lastRenderedPageBreak/>
        <w:t>нарушений, на общую сумму 8,9 тыс. рублей, из них имеющих стоимостную оценку 5 нарушений, в том числе допущенных в 2019 году – 8,9 тыс. рублей.</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Объем подлежащих устранению нарушений составляет 0 на сумму 0,00 тыс. рублей. Устранено нарушений по контрольным и экспертно-аналитическим мероприятиям 5 на сумму 8,9 тыс. рублей.</w:t>
      </w:r>
    </w:p>
    <w:p w:rsidR="00A10ECF" w:rsidRPr="00A10ECF" w:rsidRDefault="00A10ECF" w:rsidP="00A10ECF">
      <w:pPr>
        <w:spacing w:after="120"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В соответствии с Бюджетным кодексом Российской Федерации во исполнение полномочий, закрепленных статьей 8 Положения « О Контрольно-счетной палате Красногорского района» проведено экспертно-аналитическое мероприятие «Экспертиза и подготовка заключения на проект решения Красногорского районного Совета народных депутатов «О бюджете Красногорского муниципального района Брянской области на 2021 год и плановый период 2022-2023 годов», а также экспертиза и подготовка заключения на проект бюджета городского и</w:t>
      </w:r>
      <w:proofErr w:type="gramEnd"/>
      <w:r w:rsidRPr="00A10ECF">
        <w:rPr>
          <w:rFonts w:ascii="Times New Roman" w:hAnsi="Times New Roman" w:cs="Times New Roman"/>
          <w:sz w:val="28"/>
          <w:szCs w:val="28"/>
        </w:rPr>
        <w:t xml:space="preserve"> 6 сельских поселений в соответствии с заключенными соглашениями.</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ходе экспертизы рассмотрены вопросы соответствия проекта решения требованиям бюджетного законодательства, проведен анализ расчетов и документов, представленных одновременно с проектом бюджета.</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рамках экспертно-аналитического мероприятия проведена экспертиза 11 муниципальных программ Красногорского района.</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Результаты экспертизы проектов бюджетов отражены в заключениях Контрольно-счетной палаты. Заключения с предложениями на проекты бюджетов на 2021 год и плановый период 2022-2023 годов направлены в Советы народных депутатов и главам муниципальных образований Красногорского района.</w:t>
      </w:r>
    </w:p>
    <w:p w:rsidR="00A10ECF" w:rsidRPr="00A10ECF" w:rsidRDefault="00A10ECF" w:rsidP="00A10ECF">
      <w:pPr>
        <w:spacing w:after="120"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 xml:space="preserve">В 2020 году оперативный контроль и анализ исполнения бюджета Красногорского муниципального района Брянской области, городского поселения и 6 сельских поселений осуществлялся в соответствии с Положением «О Контрольно-счетной палате Красногорского района» и планом работы на 2020 год в рамках экспертно-аналитической деятельности </w:t>
      </w:r>
      <w:r w:rsidRPr="00A10ECF">
        <w:rPr>
          <w:rFonts w:ascii="Times New Roman" w:hAnsi="Times New Roman" w:cs="Times New Roman"/>
          <w:sz w:val="28"/>
          <w:szCs w:val="28"/>
        </w:rPr>
        <w:lastRenderedPageBreak/>
        <w:t>по экспертизе проектов решений «О внесении изменений в решение Красногорского районного Совета народных депутатов «О бюджете на 2020 год и</w:t>
      </w:r>
      <w:proofErr w:type="gramEnd"/>
      <w:r w:rsidRPr="00A10ECF">
        <w:rPr>
          <w:rFonts w:ascii="Times New Roman" w:hAnsi="Times New Roman" w:cs="Times New Roman"/>
          <w:sz w:val="28"/>
          <w:szCs w:val="28"/>
        </w:rPr>
        <w:t xml:space="preserve"> плановый период 2021-2022 годов», а также экспертизе отчетов об исполнении бюджетов за 1 квартал, 1 полугодие и 9 месяцев 2020 года.</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ходе оперативного контроля осуществлялся анализ плановых и фактических показателей бюджетов, проверка их соответствия требованиям бюджетного законодательства. По итогам экспертно-аналитических мероприятий даны рекомендации главным администраторам бюджетных средств, направленные на повышение эффективности администрирования доходных источников и использования средств местных бюджетов.</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отчетном периоде проведены экспертизы 4 проектов решений Красногорского районного Совета народных депутатов «О внесении изменений в решение «О бюджете Красногорского муниципального района Брянской области на 2020 год и плановый период 2021-2022 годов».</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Также в 2020 году проведена экспертиза 9 проектов нормативно-правовых актов по внесению изменений в бюджет Красногорского городского поселения Красногорского муниципального района Брянской области и 47 экспертиз проектов нормативно-правовых актов по внесению изменений в бюджеты 6 сельских поселений.</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По итогам указанных экспертиз подготовлено и направлено 56 заключений, из них принято 56 предложений.</w:t>
      </w:r>
    </w:p>
    <w:p w:rsidR="00A10ECF" w:rsidRPr="00A10ECF" w:rsidRDefault="00A10ECF" w:rsidP="00A10ECF">
      <w:pPr>
        <w:spacing w:after="120" w:line="360" w:lineRule="auto"/>
        <w:jc w:val="both"/>
        <w:rPr>
          <w:rFonts w:ascii="Times New Roman" w:hAnsi="Times New Roman" w:cs="Times New Roman"/>
          <w:sz w:val="28"/>
          <w:szCs w:val="28"/>
        </w:rPr>
      </w:pP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При проведении экспертиз осуществлялась проверка проектов решений на соответствие требованиям бюджетного законодательства, по их результатам Контрольно-счетной палатой подготовлены заключения, которые направлены главам муниципальных образований Красногорского района.</w:t>
      </w:r>
    </w:p>
    <w:p w:rsidR="00A10ECF" w:rsidRPr="00A10ECF" w:rsidRDefault="00A10ECF" w:rsidP="00A10ECF">
      <w:pPr>
        <w:spacing w:after="120"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lastRenderedPageBreak/>
        <w:t>По результатам оперативного анализа исполнения бюджета Красногорского муниципального района Брянской области, бюджета городского поселения и 6 сельских поселений в 2020 году подготовлены заключения на отчеты об исполнении бюджетов за 1 квартал, 1 полугодие и 9 месяцев 2020 года, которые направлены главе Красногорского района, главе администрации Красногорского района и главам сельских поселений.</w:t>
      </w:r>
      <w:proofErr w:type="gramEnd"/>
      <w:r w:rsidRPr="00A10ECF">
        <w:rPr>
          <w:rFonts w:ascii="Times New Roman" w:hAnsi="Times New Roman" w:cs="Times New Roman"/>
          <w:sz w:val="28"/>
          <w:szCs w:val="28"/>
        </w:rPr>
        <w:t xml:space="preserve"> Особое внимание при подготовке заключений уделялось эффективности администрирования доходных источников местных бюджетов и использованию их главными распорядителями средств.</w:t>
      </w:r>
    </w:p>
    <w:p w:rsidR="00A10ECF" w:rsidRPr="00A10ECF" w:rsidRDefault="00A10ECF" w:rsidP="00A10ECF">
      <w:pPr>
        <w:spacing w:after="120"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В соответствии с требованиями бюджетного законодательства Контрольно-счетной палатой проведены экспертно-аналитические мероприятия «Экспертиза и подготовка заключений на проекты решений «Об исполнении бюджетов за 2019 год» внешние проверки годовых отчетов об исполнении бюджетов за 2019 год, а также рассмотрены и подготовлены заключения по результатам внешней проверки годовой бюджетной отчетности 6 главных администраторов бюджетных средств.</w:t>
      </w:r>
      <w:proofErr w:type="gramEnd"/>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Результаты внешней проверки годовых отчетов об исполнении бюджетов и внешней проверки годовой бюджетной отчетности главных администраторов бюджетных средств отражены в сводном заключении Контрольно-счетной палаты.</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По итогам внешней проверки рекомендовано администраторам доходов обеспечить более точное прогнозирование закрепленных доходных источников, ответственным исполнителям муниципальных программ принять меры по достижению запланированных целевых значений показателей, характеризующих конечные результаты реализации муниципальной программы, а также обеспечить должный </w:t>
      </w:r>
      <w:proofErr w:type="gramStart"/>
      <w:r w:rsidRPr="00A10ECF">
        <w:rPr>
          <w:rFonts w:ascii="Times New Roman" w:hAnsi="Times New Roman" w:cs="Times New Roman"/>
          <w:sz w:val="28"/>
          <w:szCs w:val="28"/>
        </w:rPr>
        <w:t>контроль за</w:t>
      </w:r>
      <w:proofErr w:type="gramEnd"/>
      <w:r w:rsidRPr="00A10ECF">
        <w:rPr>
          <w:rFonts w:ascii="Times New Roman" w:hAnsi="Times New Roman" w:cs="Times New Roman"/>
          <w:sz w:val="28"/>
          <w:szCs w:val="28"/>
        </w:rPr>
        <w:t xml:space="preserve"> деятельностью подведомственных учреждений.</w:t>
      </w:r>
    </w:p>
    <w:p w:rsidR="00A10ECF" w:rsidRPr="00A10ECF" w:rsidRDefault="00A10ECF" w:rsidP="00A10ECF">
      <w:pPr>
        <w:spacing w:after="120"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Заключения на отчет об исполнении бюджета Красногорского муниципального района Брянской области, бюджета городского поселения и </w:t>
      </w:r>
      <w:r w:rsidRPr="00A10ECF">
        <w:rPr>
          <w:rFonts w:ascii="Times New Roman" w:hAnsi="Times New Roman" w:cs="Times New Roman"/>
          <w:sz w:val="28"/>
          <w:szCs w:val="28"/>
        </w:rPr>
        <w:lastRenderedPageBreak/>
        <w:t>6 сельских поселений за 2019 год направлены главам муниципальных образований. Органам исполнительной власти – главным администраторам бюджетных средств направлены предложения о недопущении нарушений в дальнейшей их деятельности.</w:t>
      </w:r>
    </w:p>
    <w:p w:rsidR="00A10ECF" w:rsidRPr="00A10ECF" w:rsidRDefault="00A10ECF" w:rsidP="00A10ECF">
      <w:pPr>
        <w:spacing w:after="120" w:line="360" w:lineRule="auto"/>
        <w:ind w:firstLine="567"/>
        <w:jc w:val="both"/>
        <w:rPr>
          <w:rFonts w:ascii="Times New Roman" w:hAnsi="Times New Roman" w:cs="Times New Roman"/>
          <w:sz w:val="28"/>
          <w:szCs w:val="28"/>
        </w:rPr>
      </w:pPr>
    </w:p>
    <w:p w:rsidR="00A10ECF" w:rsidRPr="00A10ECF" w:rsidRDefault="00A10ECF" w:rsidP="00A10ECF">
      <w:pPr>
        <w:spacing w:after="120" w:line="360" w:lineRule="auto"/>
        <w:jc w:val="both"/>
        <w:rPr>
          <w:rFonts w:ascii="Times New Roman" w:hAnsi="Times New Roman" w:cs="Times New Roman"/>
          <w:b/>
          <w:sz w:val="28"/>
          <w:szCs w:val="28"/>
        </w:rPr>
      </w:pPr>
      <w:r w:rsidRPr="00A10ECF">
        <w:rPr>
          <w:rFonts w:ascii="Times New Roman" w:hAnsi="Times New Roman" w:cs="Times New Roman"/>
          <w:b/>
          <w:sz w:val="28"/>
          <w:szCs w:val="28"/>
        </w:rPr>
        <w:t>Краткая характеристика контрольных мероприятий</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b/>
          <w:sz w:val="28"/>
          <w:szCs w:val="28"/>
        </w:rPr>
        <w:t>Контрольное мероприятие «</w:t>
      </w:r>
      <w:r w:rsidRPr="00A10ECF">
        <w:rPr>
          <w:rFonts w:ascii="Times New Roman" w:hAnsi="Times New Roman" w:cs="Times New Roman"/>
          <w:sz w:val="28"/>
          <w:szCs w:val="28"/>
        </w:rPr>
        <w:t xml:space="preserve">Проверка финансово-хозяйственной деятельности </w:t>
      </w:r>
      <w:proofErr w:type="spellStart"/>
      <w:r w:rsidRPr="00A10ECF">
        <w:rPr>
          <w:rFonts w:ascii="Times New Roman" w:hAnsi="Times New Roman" w:cs="Times New Roman"/>
          <w:sz w:val="28"/>
          <w:szCs w:val="28"/>
        </w:rPr>
        <w:t>Любовшанской</w:t>
      </w:r>
      <w:proofErr w:type="spellEnd"/>
      <w:r w:rsidRPr="00A10ECF">
        <w:rPr>
          <w:rFonts w:ascii="Times New Roman" w:hAnsi="Times New Roman" w:cs="Times New Roman"/>
          <w:sz w:val="28"/>
          <w:szCs w:val="28"/>
        </w:rPr>
        <w:t xml:space="preserve"> сельской администрации Красногорского </w:t>
      </w:r>
      <w:proofErr w:type="gramStart"/>
      <w:r w:rsidRPr="00A10ECF">
        <w:rPr>
          <w:rFonts w:ascii="Times New Roman" w:hAnsi="Times New Roman" w:cs="Times New Roman"/>
          <w:sz w:val="28"/>
          <w:szCs w:val="28"/>
        </w:rPr>
        <w:t>района</w:t>
      </w:r>
      <w:proofErr w:type="gramEnd"/>
      <w:r w:rsidRPr="00A10ECF">
        <w:rPr>
          <w:rFonts w:ascii="Times New Roman" w:hAnsi="Times New Roman" w:cs="Times New Roman"/>
          <w:sz w:val="28"/>
          <w:szCs w:val="28"/>
        </w:rPr>
        <w:t xml:space="preserve"> Брянской области за 2018-2020 годы» по итогам </w:t>
      </w:r>
      <w:proofErr w:type="gramStart"/>
      <w:r w:rsidRPr="00A10ECF">
        <w:rPr>
          <w:rFonts w:ascii="Times New Roman" w:hAnsi="Times New Roman" w:cs="Times New Roman"/>
          <w:sz w:val="28"/>
          <w:szCs w:val="28"/>
        </w:rPr>
        <w:t>которого</w:t>
      </w:r>
      <w:proofErr w:type="gramEnd"/>
      <w:r w:rsidRPr="00A10ECF">
        <w:rPr>
          <w:rFonts w:ascii="Times New Roman" w:hAnsi="Times New Roman" w:cs="Times New Roman"/>
          <w:sz w:val="28"/>
          <w:szCs w:val="28"/>
        </w:rPr>
        <w:t xml:space="preserve"> установлено следующее. Администрацией не заключены договора социального найма и не </w:t>
      </w:r>
      <w:proofErr w:type="spellStart"/>
      <w:r w:rsidRPr="00A10ECF">
        <w:rPr>
          <w:rFonts w:ascii="Times New Roman" w:hAnsi="Times New Roman" w:cs="Times New Roman"/>
          <w:sz w:val="28"/>
          <w:szCs w:val="28"/>
        </w:rPr>
        <w:t>взымается</w:t>
      </w:r>
      <w:proofErr w:type="spellEnd"/>
      <w:r w:rsidRPr="00A10ECF">
        <w:rPr>
          <w:rFonts w:ascii="Times New Roman" w:hAnsi="Times New Roman" w:cs="Times New Roman"/>
          <w:sz w:val="28"/>
          <w:szCs w:val="28"/>
        </w:rPr>
        <w:t xml:space="preserve"> плата за 5 домовладений находящихся в муниципальной собственности. </w:t>
      </w:r>
      <w:proofErr w:type="gramStart"/>
      <w:r w:rsidRPr="00A10ECF">
        <w:rPr>
          <w:rFonts w:ascii="Times New Roman" w:hAnsi="Times New Roman" w:cs="Times New Roman"/>
          <w:sz w:val="28"/>
          <w:szCs w:val="28"/>
        </w:rPr>
        <w:t>В следствии</w:t>
      </w:r>
      <w:proofErr w:type="gramEnd"/>
      <w:r w:rsidRPr="00A10ECF">
        <w:rPr>
          <w:rFonts w:ascii="Times New Roman" w:hAnsi="Times New Roman" w:cs="Times New Roman"/>
          <w:sz w:val="28"/>
          <w:szCs w:val="28"/>
        </w:rPr>
        <w:t xml:space="preserve"> чего не получен дополнительный доход в бюджет поселения на сумму 8,9 тыс. рублей.</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2019 году администрацией поселения перед составлением годовой бухгалтерской отчетности не проводилась инвентаризация имущества.</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b/>
          <w:sz w:val="28"/>
          <w:szCs w:val="28"/>
        </w:rPr>
        <w:t xml:space="preserve">Контрольное мероприятие </w:t>
      </w:r>
      <w:r w:rsidRPr="00A10ECF">
        <w:rPr>
          <w:rFonts w:ascii="Times New Roman" w:hAnsi="Times New Roman" w:cs="Times New Roman"/>
          <w:sz w:val="28"/>
          <w:szCs w:val="28"/>
        </w:rPr>
        <w:t xml:space="preserve">«Проверка финансово-хозяйственной деятельности </w:t>
      </w:r>
      <w:proofErr w:type="spellStart"/>
      <w:r w:rsidRPr="00A10ECF">
        <w:rPr>
          <w:rFonts w:ascii="Times New Roman" w:hAnsi="Times New Roman" w:cs="Times New Roman"/>
          <w:sz w:val="28"/>
          <w:szCs w:val="28"/>
        </w:rPr>
        <w:t>Перелазской</w:t>
      </w:r>
      <w:proofErr w:type="spellEnd"/>
      <w:r w:rsidRPr="00A10ECF">
        <w:rPr>
          <w:rFonts w:ascii="Times New Roman" w:hAnsi="Times New Roman" w:cs="Times New Roman"/>
          <w:sz w:val="28"/>
          <w:szCs w:val="28"/>
        </w:rPr>
        <w:t xml:space="preserve"> сельской администрации Красногорского </w:t>
      </w:r>
      <w:proofErr w:type="gramStart"/>
      <w:r w:rsidRPr="00A10ECF">
        <w:rPr>
          <w:rFonts w:ascii="Times New Roman" w:hAnsi="Times New Roman" w:cs="Times New Roman"/>
          <w:sz w:val="28"/>
          <w:szCs w:val="28"/>
        </w:rPr>
        <w:t>района</w:t>
      </w:r>
      <w:proofErr w:type="gramEnd"/>
      <w:r w:rsidRPr="00A10ECF">
        <w:rPr>
          <w:rFonts w:ascii="Times New Roman" w:hAnsi="Times New Roman" w:cs="Times New Roman"/>
          <w:sz w:val="28"/>
          <w:szCs w:val="28"/>
        </w:rPr>
        <w:t xml:space="preserve"> Брянской области за 2018-2020 годы» по итогам </w:t>
      </w:r>
      <w:proofErr w:type="gramStart"/>
      <w:r w:rsidRPr="00A10ECF">
        <w:rPr>
          <w:rFonts w:ascii="Times New Roman" w:hAnsi="Times New Roman" w:cs="Times New Roman"/>
          <w:sz w:val="28"/>
          <w:szCs w:val="28"/>
        </w:rPr>
        <w:t>которого</w:t>
      </w:r>
      <w:proofErr w:type="gramEnd"/>
      <w:r w:rsidRPr="00A10ECF">
        <w:rPr>
          <w:rFonts w:ascii="Times New Roman" w:hAnsi="Times New Roman" w:cs="Times New Roman"/>
          <w:sz w:val="28"/>
          <w:szCs w:val="28"/>
        </w:rPr>
        <w:t xml:space="preserve"> нарушений не установлено.</w:t>
      </w: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b/>
          <w:sz w:val="28"/>
          <w:szCs w:val="28"/>
        </w:rPr>
        <w:t>Контрольное мероприятие «</w:t>
      </w:r>
      <w:r w:rsidRPr="00A10ECF">
        <w:rPr>
          <w:rFonts w:ascii="Times New Roman" w:hAnsi="Times New Roman" w:cs="Times New Roman"/>
          <w:sz w:val="28"/>
          <w:szCs w:val="28"/>
        </w:rPr>
        <w:t xml:space="preserve">Проверка финансово-хозяйственной деятельности </w:t>
      </w:r>
      <w:proofErr w:type="spellStart"/>
      <w:r w:rsidRPr="00A10ECF">
        <w:rPr>
          <w:rFonts w:ascii="Times New Roman" w:hAnsi="Times New Roman" w:cs="Times New Roman"/>
          <w:sz w:val="28"/>
          <w:szCs w:val="28"/>
        </w:rPr>
        <w:t>Колюдовской</w:t>
      </w:r>
      <w:proofErr w:type="spellEnd"/>
      <w:r w:rsidRPr="00A10ECF">
        <w:rPr>
          <w:rFonts w:ascii="Times New Roman" w:hAnsi="Times New Roman" w:cs="Times New Roman"/>
          <w:sz w:val="28"/>
          <w:szCs w:val="28"/>
        </w:rPr>
        <w:t xml:space="preserve"> сельской администрации Красногорского </w:t>
      </w:r>
      <w:proofErr w:type="gramStart"/>
      <w:r w:rsidRPr="00A10ECF">
        <w:rPr>
          <w:rFonts w:ascii="Times New Roman" w:hAnsi="Times New Roman" w:cs="Times New Roman"/>
          <w:sz w:val="28"/>
          <w:szCs w:val="28"/>
        </w:rPr>
        <w:t>района</w:t>
      </w:r>
      <w:proofErr w:type="gramEnd"/>
      <w:r w:rsidRPr="00A10ECF">
        <w:rPr>
          <w:rFonts w:ascii="Times New Roman" w:hAnsi="Times New Roman" w:cs="Times New Roman"/>
          <w:sz w:val="28"/>
          <w:szCs w:val="28"/>
        </w:rPr>
        <w:t xml:space="preserve"> Брянской области за 2018-2020 годы» по итогам </w:t>
      </w:r>
      <w:proofErr w:type="gramStart"/>
      <w:r w:rsidRPr="00A10ECF">
        <w:rPr>
          <w:rFonts w:ascii="Times New Roman" w:hAnsi="Times New Roman" w:cs="Times New Roman"/>
          <w:sz w:val="28"/>
          <w:szCs w:val="28"/>
        </w:rPr>
        <w:t>которого</w:t>
      </w:r>
      <w:proofErr w:type="gramEnd"/>
      <w:r w:rsidRPr="00A10ECF">
        <w:rPr>
          <w:rFonts w:ascii="Times New Roman" w:hAnsi="Times New Roman" w:cs="Times New Roman"/>
          <w:sz w:val="28"/>
          <w:szCs w:val="28"/>
        </w:rPr>
        <w:t xml:space="preserve"> нарушений не установлено.</w:t>
      </w:r>
    </w:p>
    <w:p w:rsidR="00A10ECF" w:rsidRPr="00A10ECF" w:rsidRDefault="00A10ECF" w:rsidP="00A10ECF">
      <w:pPr>
        <w:spacing w:line="360" w:lineRule="auto"/>
        <w:jc w:val="both"/>
        <w:rPr>
          <w:rFonts w:ascii="Times New Roman" w:hAnsi="Times New Roman" w:cs="Times New Roman"/>
          <w:b/>
          <w:sz w:val="28"/>
          <w:szCs w:val="28"/>
        </w:rPr>
      </w:pPr>
    </w:p>
    <w:p w:rsidR="00A10ECF" w:rsidRPr="00A10ECF" w:rsidRDefault="00A10ECF" w:rsidP="00A10ECF">
      <w:pPr>
        <w:spacing w:line="360" w:lineRule="auto"/>
        <w:jc w:val="both"/>
        <w:rPr>
          <w:rFonts w:ascii="Times New Roman" w:hAnsi="Times New Roman" w:cs="Times New Roman"/>
          <w:b/>
          <w:sz w:val="28"/>
          <w:szCs w:val="28"/>
        </w:rPr>
      </w:pPr>
      <w:r w:rsidRPr="00A10ECF">
        <w:rPr>
          <w:rFonts w:ascii="Times New Roman" w:hAnsi="Times New Roman" w:cs="Times New Roman"/>
          <w:b/>
          <w:sz w:val="28"/>
          <w:szCs w:val="28"/>
        </w:rPr>
        <w:t>Краткая характеристика экспертно-аналитических мероприятий</w:t>
      </w:r>
    </w:p>
    <w:p w:rsidR="00A10ECF" w:rsidRPr="00A10ECF" w:rsidRDefault="00A10ECF" w:rsidP="00A10ECF">
      <w:pPr>
        <w:spacing w:line="24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Во исполнение полномочий, изложенных Бюджетным кодексом Российской Федерации, и заключенными соглашениями Контрольно-счетной </w:t>
      </w:r>
      <w:r w:rsidRPr="00A10ECF">
        <w:rPr>
          <w:rFonts w:ascii="Times New Roman" w:hAnsi="Times New Roman" w:cs="Times New Roman"/>
          <w:sz w:val="28"/>
          <w:szCs w:val="28"/>
        </w:rPr>
        <w:lastRenderedPageBreak/>
        <w:t>палатой в 2020 году проведено 8 внешних проверок отчетов об исполнении бюджетов муниципальных образований за 2019 год, а именно:</w:t>
      </w:r>
    </w:p>
    <w:p w:rsidR="00A10ECF" w:rsidRPr="00A10ECF" w:rsidRDefault="00A10ECF" w:rsidP="00A10ECF">
      <w:pPr>
        <w:spacing w:after="0" w:line="24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муниципальное образование «Красногорский район»,</w:t>
      </w:r>
    </w:p>
    <w:p w:rsidR="00A10ECF" w:rsidRPr="00A10ECF" w:rsidRDefault="00A10ECF" w:rsidP="00A10ECF">
      <w:pPr>
        <w:spacing w:after="0" w:line="24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муниципальное образование «Красногорское городское поселение»,</w:t>
      </w:r>
    </w:p>
    <w:p w:rsidR="00A10ECF" w:rsidRPr="00A10ECF" w:rsidRDefault="00A10ECF" w:rsidP="00A10ECF">
      <w:pPr>
        <w:spacing w:after="0" w:line="24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муниципальное образование «</w:t>
      </w:r>
      <w:proofErr w:type="spellStart"/>
      <w:r w:rsidRPr="00A10ECF">
        <w:rPr>
          <w:rFonts w:ascii="Times New Roman" w:hAnsi="Times New Roman" w:cs="Times New Roman"/>
          <w:sz w:val="28"/>
          <w:szCs w:val="28"/>
        </w:rPr>
        <w:t>Любовшанское</w:t>
      </w:r>
      <w:proofErr w:type="spellEnd"/>
      <w:r w:rsidRPr="00A10ECF">
        <w:rPr>
          <w:rFonts w:ascii="Times New Roman" w:hAnsi="Times New Roman" w:cs="Times New Roman"/>
          <w:sz w:val="28"/>
          <w:szCs w:val="28"/>
        </w:rPr>
        <w:t xml:space="preserve"> сельское поселение»,</w:t>
      </w:r>
    </w:p>
    <w:p w:rsidR="00A10ECF" w:rsidRPr="00A10ECF" w:rsidRDefault="00A10ECF" w:rsidP="00A10ECF">
      <w:pPr>
        <w:spacing w:after="0" w:line="24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муниципальное образование «</w:t>
      </w:r>
      <w:proofErr w:type="spellStart"/>
      <w:r w:rsidRPr="00A10ECF">
        <w:rPr>
          <w:rFonts w:ascii="Times New Roman" w:hAnsi="Times New Roman" w:cs="Times New Roman"/>
          <w:sz w:val="28"/>
          <w:szCs w:val="28"/>
        </w:rPr>
        <w:t>Перелазское</w:t>
      </w:r>
      <w:proofErr w:type="spellEnd"/>
      <w:r w:rsidRPr="00A10ECF">
        <w:rPr>
          <w:rFonts w:ascii="Times New Roman" w:hAnsi="Times New Roman" w:cs="Times New Roman"/>
          <w:sz w:val="28"/>
          <w:szCs w:val="28"/>
        </w:rPr>
        <w:t xml:space="preserve"> сельское поселение»,</w:t>
      </w:r>
    </w:p>
    <w:p w:rsidR="00A10ECF" w:rsidRPr="00A10ECF" w:rsidRDefault="00A10ECF" w:rsidP="00A10ECF">
      <w:pPr>
        <w:spacing w:after="0" w:line="240" w:lineRule="auto"/>
        <w:ind w:left="567"/>
        <w:jc w:val="both"/>
        <w:rPr>
          <w:rFonts w:ascii="Times New Roman" w:hAnsi="Times New Roman" w:cs="Times New Roman"/>
          <w:sz w:val="28"/>
          <w:szCs w:val="28"/>
        </w:rPr>
      </w:pPr>
      <w:r w:rsidRPr="00A10ECF">
        <w:rPr>
          <w:rFonts w:ascii="Times New Roman" w:hAnsi="Times New Roman" w:cs="Times New Roman"/>
          <w:sz w:val="28"/>
          <w:szCs w:val="28"/>
        </w:rPr>
        <w:t xml:space="preserve">муниципальное образование « </w:t>
      </w:r>
      <w:proofErr w:type="spellStart"/>
      <w:r w:rsidRPr="00A10ECF">
        <w:rPr>
          <w:rFonts w:ascii="Times New Roman" w:hAnsi="Times New Roman" w:cs="Times New Roman"/>
          <w:sz w:val="28"/>
          <w:szCs w:val="28"/>
        </w:rPr>
        <w:t>Колюдовское</w:t>
      </w:r>
      <w:proofErr w:type="spellEnd"/>
      <w:r w:rsidRPr="00A10ECF">
        <w:rPr>
          <w:rFonts w:ascii="Times New Roman" w:hAnsi="Times New Roman" w:cs="Times New Roman"/>
          <w:sz w:val="28"/>
          <w:szCs w:val="28"/>
        </w:rPr>
        <w:t xml:space="preserve"> сельское поселение», муниципальное образование «</w:t>
      </w:r>
      <w:proofErr w:type="spellStart"/>
      <w:r w:rsidRPr="00A10ECF">
        <w:rPr>
          <w:rFonts w:ascii="Times New Roman" w:hAnsi="Times New Roman" w:cs="Times New Roman"/>
          <w:sz w:val="28"/>
          <w:szCs w:val="28"/>
        </w:rPr>
        <w:t>Лотаковское</w:t>
      </w:r>
      <w:proofErr w:type="spellEnd"/>
      <w:r w:rsidRPr="00A10ECF">
        <w:rPr>
          <w:rFonts w:ascii="Times New Roman" w:hAnsi="Times New Roman" w:cs="Times New Roman"/>
          <w:sz w:val="28"/>
          <w:szCs w:val="28"/>
        </w:rPr>
        <w:t xml:space="preserve"> сельское поселение», муниципальное образование «</w:t>
      </w:r>
      <w:proofErr w:type="spellStart"/>
      <w:r w:rsidRPr="00A10ECF">
        <w:rPr>
          <w:rFonts w:ascii="Times New Roman" w:hAnsi="Times New Roman" w:cs="Times New Roman"/>
          <w:sz w:val="28"/>
          <w:szCs w:val="28"/>
        </w:rPr>
        <w:t>Макаричское</w:t>
      </w:r>
      <w:proofErr w:type="spellEnd"/>
      <w:r w:rsidRPr="00A10ECF">
        <w:rPr>
          <w:rFonts w:ascii="Times New Roman" w:hAnsi="Times New Roman" w:cs="Times New Roman"/>
          <w:sz w:val="28"/>
          <w:szCs w:val="28"/>
        </w:rPr>
        <w:t xml:space="preserve"> сельское поселение», муниципальное образование «</w:t>
      </w:r>
      <w:proofErr w:type="spellStart"/>
      <w:r w:rsidRPr="00A10ECF">
        <w:rPr>
          <w:rFonts w:ascii="Times New Roman" w:hAnsi="Times New Roman" w:cs="Times New Roman"/>
          <w:sz w:val="28"/>
          <w:szCs w:val="28"/>
        </w:rPr>
        <w:t>Яловское</w:t>
      </w:r>
      <w:proofErr w:type="spellEnd"/>
      <w:r w:rsidRPr="00A10ECF">
        <w:rPr>
          <w:rFonts w:ascii="Times New Roman" w:hAnsi="Times New Roman" w:cs="Times New Roman"/>
          <w:sz w:val="28"/>
          <w:szCs w:val="28"/>
        </w:rPr>
        <w:t xml:space="preserve"> сельское поселение».</w:t>
      </w:r>
    </w:p>
    <w:p w:rsidR="00A10ECF" w:rsidRPr="00A10ECF" w:rsidRDefault="00A10ECF" w:rsidP="00A10ECF">
      <w:pPr>
        <w:spacing w:line="360" w:lineRule="auto"/>
        <w:ind w:left="567"/>
        <w:jc w:val="both"/>
        <w:rPr>
          <w:rFonts w:ascii="Times New Roman" w:hAnsi="Times New Roman" w:cs="Times New Roman"/>
          <w:sz w:val="28"/>
          <w:szCs w:val="28"/>
        </w:rPr>
      </w:pPr>
      <w:r w:rsidRPr="00A10ECF">
        <w:rPr>
          <w:rFonts w:ascii="Times New Roman" w:hAnsi="Times New Roman" w:cs="Times New Roman"/>
          <w:sz w:val="28"/>
          <w:szCs w:val="28"/>
        </w:rPr>
        <w:t>По итогам проведенных внешних проверок нарушений не установлено.</w:t>
      </w:r>
    </w:p>
    <w:p w:rsidR="00A10ECF" w:rsidRPr="00A10ECF" w:rsidRDefault="00A10ECF" w:rsidP="00A10ECF">
      <w:pPr>
        <w:spacing w:line="360" w:lineRule="auto"/>
        <w:jc w:val="both"/>
        <w:rPr>
          <w:rFonts w:ascii="Times New Roman" w:hAnsi="Times New Roman" w:cs="Times New Roman"/>
          <w:sz w:val="28"/>
          <w:szCs w:val="28"/>
        </w:rPr>
      </w:pPr>
      <w:r w:rsidRPr="00A10ECF">
        <w:rPr>
          <w:rFonts w:ascii="Times New Roman" w:hAnsi="Times New Roman" w:cs="Times New Roman"/>
          <w:sz w:val="28"/>
          <w:szCs w:val="28"/>
        </w:rPr>
        <w:t>Результаты внешних проверок годовой отчетности об исполнении бюджетов муниципальных образований за 2019 год отражены в заключениях и направлены главам муниципальных образований. В целях недопущения недостатков в дальнейшем главам муниципальных образований направлены информационные письма с предложениями.</w:t>
      </w:r>
    </w:p>
    <w:p w:rsidR="00A10ECF" w:rsidRPr="00A10ECF" w:rsidRDefault="00A10ECF" w:rsidP="00A10ECF">
      <w:pPr>
        <w:spacing w:line="360" w:lineRule="auto"/>
        <w:jc w:val="both"/>
        <w:rPr>
          <w:rFonts w:ascii="Times New Roman" w:hAnsi="Times New Roman" w:cs="Times New Roman"/>
          <w:sz w:val="28"/>
          <w:szCs w:val="28"/>
        </w:rPr>
      </w:pPr>
    </w:p>
    <w:p w:rsidR="00A10ECF" w:rsidRPr="00A10ECF" w:rsidRDefault="00A10ECF" w:rsidP="00A10ECF">
      <w:pPr>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соответствии с планом работы в 2020 году Контрольно-счетной палатой Красногорского района не проводились совместные контрольные и экспертно-аналитические мероприятия со счётной палатой Брянской области. В соответствии со ст. 19 Положения «О Контрольно–счетной палате Красногорского района», Контрольно–счетная палата Красногорского района взаимодействует с другими контрольно–счетными органами. Взаимодействие осуществляется на основании подписанного соглашения о сотрудничестве с Контрольно–счетной палатой Брянской области и плана работы Ассоциации контрольно–счетных органов Брянской области в целях координации совместной деятельности.</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Счетной палатой была обеспечена реализация полномочий, возложенных на нее Бюджетным кодексом Российской Федерации, Законом Брянской области «О Контрольно-счетной палате Брянской области», Положением «О Контрольно–счетной палате Красногорского района», </w:t>
      </w:r>
      <w:r w:rsidRPr="00A10ECF">
        <w:rPr>
          <w:rFonts w:ascii="Times New Roman" w:hAnsi="Times New Roman" w:cs="Times New Roman"/>
          <w:sz w:val="28"/>
          <w:szCs w:val="28"/>
        </w:rPr>
        <w:lastRenderedPageBreak/>
        <w:t>которое утверждено решением Красногорского района Совета народных депутатов от 24.12.2013 года №4-294 и планом работы на 2020 год.</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В целях реализации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Контрольно-счетной палатой Брянской области проводился мониторинг страницы сайта Контрольно-счетной палаты Красногорского района, по итогам которого даны рекомендации и разъяснения по корректировке и наполнению необходимой информацией, что в целом поспособствовало повышению открытости и гласности работы Контрольно-счетной</w:t>
      </w:r>
      <w:proofErr w:type="gramEnd"/>
      <w:r w:rsidRPr="00A10ECF">
        <w:rPr>
          <w:rFonts w:ascii="Times New Roman" w:hAnsi="Times New Roman" w:cs="Times New Roman"/>
          <w:sz w:val="28"/>
          <w:szCs w:val="28"/>
        </w:rPr>
        <w:t xml:space="preserve"> палаты Красногорского района.</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Руководство Контрольно-счетной палаты принимало активное участие в мероприятиях регионального и муниципального уровня, посвященных вопросам финансового контроля и аудита дистанционно.</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течение года информация о деятельности Контрольно-счетной палаты размещалась на официальном сайте администрации Красногорского района на странице Контрольно-счетной палаты.</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В соответствии с ведомственной структурой расходов, утвержденной решением «О бюджете Красногорского муниципального района на 2020 год и плановый период 2021-2022 годы (с изменениями)», бюджетные ассигнования на содержание и обеспечение деятельности Контрольно-счетной палаты утверждены в сумме 1093,61 тыс. рублей. Исполнение бюджетной сметы Контрольно-счетной палаты в отчетном году составило 1093,61 тыс. рублей или 100,0 процентов. Предусмотренные на содержание и обеспечение деятельности Контрольно-счетной палаты средства израсходованы в основном на оплату труда.</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В течение отчетного периода кадровая работа в Контрольно-счетной палате проводилась в соответствии с законодательством о муниципальной </w:t>
      </w:r>
      <w:r w:rsidRPr="00A10ECF">
        <w:rPr>
          <w:rFonts w:ascii="Times New Roman" w:hAnsi="Times New Roman" w:cs="Times New Roman"/>
          <w:sz w:val="28"/>
          <w:szCs w:val="28"/>
        </w:rPr>
        <w:lastRenderedPageBreak/>
        <w:t>службе. По состоянию на 1 января 2020 года штатная численность Контрольно-счетной палаты составила 2 единицы, из них 2 единицы должности муниципальной службы Красногорского района. Фактическая штатная численность - 2 единицы, замещающие муниципальные должности. С 28.04.2020 г. по 02.12.2020 г. – 1 единица.</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Председателем контрольно-счетной палаты и ведущим инспектором своевременно представлены сведения о своих доходах, расходах, об имуществе и обязательствах имущественного характера. Представленные сведения в установленный законодательством срок размещены на сайте администрации Красногорского района на странице КСП.</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За истекший период 2020 года случаев несоблюдения запретов, ограничений и </w:t>
      </w:r>
      <w:proofErr w:type="gramStart"/>
      <w:r w:rsidRPr="00A10ECF">
        <w:rPr>
          <w:rFonts w:ascii="Times New Roman" w:hAnsi="Times New Roman" w:cs="Times New Roman"/>
          <w:sz w:val="28"/>
          <w:szCs w:val="28"/>
        </w:rPr>
        <w:t>требований, установленных в целях противодействия коррупции в Контрольно-счетной палате не установлено</w:t>
      </w:r>
      <w:proofErr w:type="gramEnd"/>
      <w:r w:rsidRPr="00A10ECF">
        <w:rPr>
          <w:rFonts w:ascii="Times New Roman" w:hAnsi="Times New Roman" w:cs="Times New Roman"/>
          <w:sz w:val="28"/>
          <w:szCs w:val="28"/>
        </w:rPr>
        <w:t>.</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Уведомлений о получении подарков, уведомлений о возникновении личной заинтересованности при исполнении должностных обязанностей, которая приводит или может привести к конфликту интересов, а также уведомлений о случаях обращения в целях склонения к совершению коррупционных правонарушений в адрес председателя Контрольно-счетной палаты не поступало.</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Председателем КСП были представлены уведомления о выполнении иной оплачиваемой работы в 2020 году. На комиссии по соблюдению требований к служебному поведению муниципальных служащих администрации Красногорского района и урегулированию конфликта интересов от 06.06.2020 г., от 18.08.2020 г. рассмотрены уведомления. Нарушений не установлено.</w:t>
      </w:r>
    </w:p>
    <w:p w:rsidR="00A10ECF" w:rsidRPr="00A10ECF" w:rsidRDefault="00A10ECF" w:rsidP="00A10ECF">
      <w:pPr>
        <w:tabs>
          <w:tab w:val="left" w:pos="540"/>
        </w:tabs>
        <w:spacing w:line="360" w:lineRule="auto"/>
        <w:ind w:firstLine="567"/>
        <w:jc w:val="both"/>
        <w:rPr>
          <w:rFonts w:ascii="Times New Roman" w:hAnsi="Times New Roman" w:cs="Times New Roman"/>
          <w:sz w:val="28"/>
          <w:szCs w:val="28"/>
        </w:rPr>
      </w:pPr>
      <w:r w:rsidRPr="00A10ECF">
        <w:rPr>
          <w:rFonts w:ascii="Times New Roman" w:hAnsi="Times New Roman" w:cs="Times New Roman"/>
          <w:sz w:val="28"/>
          <w:szCs w:val="28"/>
        </w:rPr>
        <w:t xml:space="preserve">В отчетном периоде Контрольно-счетной палатой была обеспечена реализация полномочий, возложенных на нее Бюджетным кодексом Российской Федерации, Законом Брянской области «О Контрольно-счетной </w:t>
      </w:r>
      <w:r w:rsidRPr="00A10ECF">
        <w:rPr>
          <w:rFonts w:ascii="Times New Roman" w:hAnsi="Times New Roman" w:cs="Times New Roman"/>
          <w:sz w:val="28"/>
          <w:szCs w:val="28"/>
        </w:rPr>
        <w:lastRenderedPageBreak/>
        <w:t>палате Брянской области», Положением «О Контрольно–счетной палате Красногорского района», которое утверждено решением Красногорского районного Совета народных депутатов от 24.12.2013 года № 4-294 и планом работы на 2020 год. Контрольная и экспертно-аналитическая деятельность Контрольно-счетной палаты была направлена на решение актуальных вопросов по повышению эффективности использования в 2020 году бюджетных средств</w:t>
      </w:r>
      <w:r w:rsidRPr="00A10ECF">
        <w:rPr>
          <w:rFonts w:ascii="Times New Roman" w:hAnsi="Times New Roman" w:cs="Times New Roman"/>
          <w:bCs/>
          <w:sz w:val="28"/>
          <w:szCs w:val="28"/>
        </w:rPr>
        <w:t>.</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proofErr w:type="gramStart"/>
      <w:r w:rsidRPr="00A10ECF">
        <w:rPr>
          <w:rFonts w:ascii="Times New Roman" w:hAnsi="Times New Roman" w:cs="Times New Roman"/>
          <w:sz w:val="28"/>
          <w:szCs w:val="28"/>
        </w:rPr>
        <w:t>В 2021 году Контрольно-счетной палатой будет продолжена работа по дальнейшему укреплению и развитию единой системы контроля за формированием и исполнением районного бюджета, бюджетов Красногорского городского и сельских поселений, эффективному использованию муниципального имущества, внедрению в контрольную практику новых форм и методов работы, совершенствованию правового, методологического и информационного обеспечения муниципального финансового контроля на территории Красногорского района, расширению взаимодействия с правоохранительными органами, органами</w:t>
      </w:r>
      <w:proofErr w:type="gramEnd"/>
      <w:r w:rsidRPr="00A10ECF">
        <w:rPr>
          <w:rFonts w:ascii="Times New Roman" w:hAnsi="Times New Roman" w:cs="Times New Roman"/>
          <w:sz w:val="28"/>
          <w:szCs w:val="28"/>
        </w:rPr>
        <w:t xml:space="preserve"> государственной власти и Контрольно-счетной палатой Брянской области.</w:t>
      </w:r>
    </w:p>
    <w:p w:rsidR="00A10ECF" w:rsidRPr="00A10ECF" w:rsidRDefault="00A10ECF" w:rsidP="00A10ECF">
      <w:pPr>
        <w:autoSpaceDE w:val="0"/>
        <w:autoSpaceDN w:val="0"/>
        <w:adjustRightInd w:val="0"/>
        <w:spacing w:line="360" w:lineRule="auto"/>
        <w:ind w:firstLine="567"/>
        <w:jc w:val="both"/>
        <w:rPr>
          <w:rFonts w:ascii="Times New Roman" w:hAnsi="Times New Roman" w:cs="Times New Roman"/>
          <w:sz w:val="28"/>
          <w:szCs w:val="28"/>
        </w:rPr>
      </w:pPr>
    </w:p>
    <w:p w:rsidR="00A10ECF" w:rsidRPr="00A10ECF" w:rsidRDefault="00A10ECF" w:rsidP="00A10ECF">
      <w:pPr>
        <w:tabs>
          <w:tab w:val="left" w:pos="540"/>
        </w:tabs>
        <w:spacing w:after="0"/>
        <w:jc w:val="both"/>
        <w:rPr>
          <w:rFonts w:ascii="Times New Roman" w:hAnsi="Times New Roman" w:cs="Times New Roman"/>
          <w:sz w:val="28"/>
          <w:szCs w:val="28"/>
        </w:rPr>
      </w:pPr>
      <w:r w:rsidRPr="00A10ECF">
        <w:rPr>
          <w:rFonts w:ascii="Times New Roman" w:hAnsi="Times New Roman" w:cs="Times New Roman"/>
          <w:sz w:val="28"/>
          <w:szCs w:val="28"/>
        </w:rPr>
        <w:t>Председатель Контрольно-счетной палаты</w:t>
      </w:r>
    </w:p>
    <w:p w:rsidR="00A10ECF" w:rsidRPr="00A10ECF" w:rsidRDefault="00A10ECF" w:rsidP="00A10ECF">
      <w:pPr>
        <w:tabs>
          <w:tab w:val="left" w:pos="540"/>
        </w:tabs>
        <w:spacing w:after="0"/>
        <w:jc w:val="both"/>
        <w:rPr>
          <w:rFonts w:ascii="Times New Roman" w:hAnsi="Times New Roman" w:cs="Times New Roman"/>
          <w:sz w:val="28"/>
          <w:szCs w:val="28"/>
        </w:rPr>
      </w:pPr>
      <w:r w:rsidRPr="00A10ECF">
        <w:rPr>
          <w:rFonts w:ascii="Times New Roman" w:hAnsi="Times New Roman" w:cs="Times New Roman"/>
          <w:sz w:val="28"/>
          <w:szCs w:val="28"/>
        </w:rPr>
        <w:t>Красногорского района                                                                      А. Н. Рощина</w:t>
      </w:r>
    </w:p>
    <w:p w:rsidR="001B71F5" w:rsidRPr="00A10ECF" w:rsidRDefault="001B71F5" w:rsidP="00A10ECF">
      <w:pPr>
        <w:spacing w:after="0"/>
        <w:jc w:val="both"/>
        <w:rPr>
          <w:rFonts w:ascii="Times New Roman" w:hAnsi="Times New Roman" w:cs="Times New Roman"/>
          <w:sz w:val="28"/>
          <w:szCs w:val="28"/>
        </w:rPr>
      </w:pPr>
    </w:p>
    <w:sectPr w:rsidR="001B71F5" w:rsidRPr="00A10E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useFELayout/>
  </w:compat>
  <w:rsids>
    <w:rsidRoot w:val="00A10ECF"/>
    <w:rsid w:val="001B71F5"/>
    <w:rsid w:val="00A10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380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2437</Words>
  <Characters>13893</Characters>
  <Application>Microsoft Office Word</Application>
  <DocSecurity>0</DocSecurity>
  <Lines>115</Lines>
  <Paragraphs>32</Paragraphs>
  <ScaleCrop>false</ScaleCrop>
  <Company>Reanimator Extreme Edition</Company>
  <LinksUpToDate>false</LinksUpToDate>
  <CharactersWithSpaces>16298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Работа</dc:creator>
  <cp:keywords/>
  <dc:description/>
  <cp:lastModifiedBy>Работа</cp:lastModifiedBy>
  <cp:revision>3</cp:revision>
  <dcterms:created xsi:type="dcterms:W3CDTF">2021-03-31T06:49:00Z</dcterms:created>
  <dcterms:modified xsi:type="dcterms:W3CDTF">2021-03-31T06:59:00Z</dcterms:modified>
</cp:coreProperties>
</file>