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266C5" w:rsidRDefault="006E09C3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ПЕРЕЛАЗСКАЯ  СЕЛЬСКАЯ  АДМИНИСТРАЦИЯ </w:t>
      </w:r>
    </w:p>
    <w:p w:rsidR="00D266C5" w:rsidRDefault="00D266C5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C136C8">
      <w:pPr>
        <w:tabs>
          <w:tab w:val="left" w:pos="7062"/>
        </w:tabs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  <w:r w:rsidR="00C136C8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</w:t>
      </w:r>
      <w:r w:rsidR="00B730C6">
        <w:rPr>
          <w:rFonts w:ascii="Times New Roman" w:hAnsi="Times New Roman" w:cs="Times New Roman"/>
          <w:sz w:val="28"/>
        </w:rPr>
        <w:t>31.03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  <w:r w:rsidR="00B730C6">
        <w:rPr>
          <w:rFonts w:ascii="Times New Roman" w:hAnsi="Times New Roman" w:cs="Times New Roman"/>
          <w:sz w:val="28"/>
        </w:rPr>
        <w:t>18-р</w:t>
      </w:r>
    </w:p>
    <w:p w:rsidR="00DC4960" w:rsidRPr="00DC4960" w:rsidRDefault="006E09C3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с.Перелазы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6E09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Перелазского сельского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  <w:bookmarkStart w:id="0" w:name="_GoBack"/>
        <w:bookmarkEnd w:id="0"/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2120C6" w:rsidRPr="00212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поселения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Перелазского сельского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народных депутатов от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9C3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Перелазской </w:t>
      </w:r>
    </w:p>
    <w:p w:rsidR="00305422" w:rsidRPr="00E61F4A" w:rsidRDefault="006E09C3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="00305422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Start"/>
      <w:r w:rsidR="0030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С.Е.Горбачева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6E09C3">
        <w:rPr>
          <w:rFonts w:ascii="Times New Roman" w:hAnsi="Times New Roman" w:cs="Times New Roman"/>
          <w:sz w:val="28"/>
          <w:szCs w:val="28"/>
        </w:rPr>
        <w:t xml:space="preserve"> Перелазской 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Перелазская сельская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266C5">
        <w:rPr>
          <w:rFonts w:ascii="Times New Roman" w:hAnsi="Times New Roman" w:cs="Times New Roman"/>
          <w:sz w:val="28"/>
          <w:szCs w:val="28"/>
        </w:rPr>
        <w:t xml:space="preserve">Перелазского сельского </w:t>
      </w:r>
      <w:r w:rsidR="00332322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6E09C3">
        <w:rPr>
          <w:rFonts w:ascii="Times New Roman" w:hAnsi="Times New Roman" w:cs="Times New Roman"/>
          <w:sz w:val="28"/>
          <w:szCs w:val="28"/>
        </w:rPr>
        <w:t>24.11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6E09C3">
        <w:rPr>
          <w:rFonts w:ascii="Times New Roman" w:hAnsi="Times New Roman" w:cs="Times New Roman"/>
          <w:sz w:val="28"/>
          <w:szCs w:val="28"/>
        </w:rPr>
        <w:t>4-75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6E0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Перелазского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6E0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Перелазского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 сельского</w:t>
      </w:r>
      <w:r w:rsidR="00D26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Перелазская сельская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>адми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нистрация Красногорского муниципального  района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A4DC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E09C3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730C6"/>
    <w:rsid w:val="00BB5F68"/>
    <w:rsid w:val="00BD7B7A"/>
    <w:rsid w:val="00C13588"/>
    <w:rsid w:val="00C136C8"/>
    <w:rsid w:val="00C7047C"/>
    <w:rsid w:val="00C7535E"/>
    <w:rsid w:val="00C803DF"/>
    <w:rsid w:val="00CC244D"/>
    <w:rsid w:val="00CC4806"/>
    <w:rsid w:val="00D01610"/>
    <w:rsid w:val="00D266C5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Adm</cp:lastModifiedBy>
  <cp:revision>7</cp:revision>
  <dcterms:created xsi:type="dcterms:W3CDTF">2023-03-14T06:44:00Z</dcterms:created>
  <dcterms:modified xsi:type="dcterms:W3CDTF">2023-03-30T15:10:00Z</dcterms:modified>
</cp:coreProperties>
</file>